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0637" w14:textId="1128544B" w:rsidR="4FF0E35E" w:rsidRPr="004B0D08" w:rsidRDefault="7418D8EE" w:rsidP="3CCE253A">
      <w:pPr>
        <w:rPr>
          <w:rFonts w:ascii="Open Sans" w:eastAsia="Open Sans" w:hAnsi="Open Sans" w:cs="Open Sans"/>
          <w:b/>
          <w:bCs/>
          <w:color w:val="D50032"/>
          <w:sz w:val="36"/>
          <w:szCs w:val="36"/>
        </w:rPr>
      </w:pPr>
      <w:r w:rsidRPr="59123555">
        <w:rPr>
          <w:rFonts w:ascii="Open Sans" w:eastAsia="Open Sans" w:hAnsi="Open Sans" w:cs="Open Sans"/>
          <w:b/>
          <w:bCs/>
          <w:color w:val="D50032"/>
          <w:sz w:val="36"/>
          <w:szCs w:val="36"/>
        </w:rPr>
        <w:t>RENTER’S TAX CREDIT BACKGROUNDER</w:t>
      </w:r>
    </w:p>
    <w:p w14:paraId="4A8E6A50" w14:textId="6F9F72E4" w:rsidR="59123555" w:rsidRDefault="59123555" w:rsidP="59123555">
      <w:pPr>
        <w:rPr>
          <w:rFonts w:ascii="Open Sans" w:eastAsia="Open Sans" w:hAnsi="Open Sans" w:cs="Open Sans"/>
          <w:b/>
          <w:bCs/>
          <w:sz w:val="20"/>
          <w:szCs w:val="20"/>
        </w:rPr>
      </w:pPr>
      <w:r w:rsidRPr="59123555">
        <w:rPr>
          <w:rFonts w:ascii="Open Sans" w:eastAsia="Open Sans" w:hAnsi="Open Sans" w:cs="Open Sans"/>
          <w:b/>
          <w:bCs/>
          <w:sz w:val="20"/>
          <w:szCs w:val="20"/>
        </w:rPr>
        <w:t>LAST UPDATED: 08/18/2022</w:t>
      </w:r>
    </w:p>
    <w:p w14:paraId="67E08513" w14:textId="55617A46" w:rsidR="00105A4E" w:rsidRPr="004B0D08" w:rsidRDefault="271740BB" w:rsidP="59123555">
      <w:pPr>
        <w:pStyle w:val="Heading1"/>
        <w:spacing w:line="276" w:lineRule="auto"/>
        <w:rPr>
          <w:rFonts w:ascii="Open Sans" w:eastAsia="Open Sans" w:hAnsi="Open Sans" w:cs="Open Sans"/>
          <w:b/>
          <w:bCs/>
          <w:color w:val="D50032"/>
          <w:sz w:val="28"/>
          <w:szCs w:val="28"/>
        </w:rPr>
      </w:pPr>
      <w:r w:rsidRPr="59123555">
        <w:rPr>
          <w:rFonts w:ascii="Open Sans" w:eastAsia="Open Sans" w:hAnsi="Open Sans" w:cs="Open Sans"/>
          <w:b/>
          <w:bCs/>
          <w:color w:val="D50032"/>
          <w:sz w:val="28"/>
          <w:szCs w:val="28"/>
        </w:rPr>
        <w:t>Background &amp; Context</w:t>
      </w:r>
    </w:p>
    <w:p w14:paraId="63FB08F3" w14:textId="66C2EEE7" w:rsidR="4FF0E35E" w:rsidRDefault="473C8661" w:rsidP="59123555">
      <w:pPr>
        <w:spacing w:line="276" w:lineRule="auto"/>
        <w:rPr>
          <w:rFonts w:ascii="Open Sans" w:eastAsia="Open Sans" w:hAnsi="Open Sans" w:cs="Open Sans"/>
        </w:rPr>
      </w:pPr>
      <w:r w:rsidRPr="0BA05A84">
        <w:rPr>
          <w:rFonts w:ascii="Open Sans" w:eastAsia="Open Sans" w:hAnsi="Open Sans" w:cs="Open Sans"/>
          <w:color w:val="000000" w:themeColor="text1"/>
        </w:rPr>
        <w:t xml:space="preserve">The federal tax system is a </w:t>
      </w:r>
      <w:r w:rsidR="0A28A6CB" w:rsidRPr="0BA05A84">
        <w:rPr>
          <w:rFonts w:ascii="Open Sans" w:eastAsia="Open Sans" w:hAnsi="Open Sans" w:cs="Open Sans"/>
          <w:color w:val="000000" w:themeColor="text1"/>
        </w:rPr>
        <w:t xml:space="preserve">powerful, </w:t>
      </w:r>
      <w:r w:rsidRPr="0BA05A84">
        <w:rPr>
          <w:rFonts w:ascii="Open Sans" w:eastAsia="Open Sans" w:hAnsi="Open Sans" w:cs="Open Sans"/>
          <w:color w:val="000000" w:themeColor="text1"/>
        </w:rPr>
        <w:t>effective</w:t>
      </w:r>
      <w:r w:rsidR="0A28A6CB" w:rsidRPr="0BA05A84">
        <w:rPr>
          <w:rFonts w:ascii="Open Sans" w:eastAsia="Open Sans" w:hAnsi="Open Sans" w:cs="Open Sans"/>
          <w:color w:val="000000" w:themeColor="text1"/>
        </w:rPr>
        <w:t xml:space="preserve"> financial</w:t>
      </w:r>
      <w:r w:rsidRPr="0BA05A84">
        <w:rPr>
          <w:rFonts w:ascii="Open Sans" w:eastAsia="Open Sans" w:hAnsi="Open Sans" w:cs="Open Sans"/>
          <w:color w:val="000000" w:themeColor="text1"/>
        </w:rPr>
        <w:t xml:space="preserve"> tool for supporting struggling renters and preventing housing instability. Financial resources that flowed through the tax code, such as multiple rounds of economic stimulus payments and temporary expansions of the Child Tax Credit (CTC) and Earned Income Tax Credit (EITC), proved effective in lifting people, especially children, out of poverty. </w:t>
      </w:r>
      <w:r w:rsidRPr="0BA05A84">
        <w:rPr>
          <w:rFonts w:ascii="Open Sans" w:eastAsia="Open Sans" w:hAnsi="Open Sans" w:cs="Open Sans"/>
        </w:rPr>
        <w:t>These critical investments enabled the United States to prevent – even temporarily - an eviction tsunami, and improve the food security, mental health</w:t>
      </w:r>
      <w:r w:rsidR="0650E6E9" w:rsidRPr="0BA05A84">
        <w:rPr>
          <w:rFonts w:ascii="Open Sans" w:eastAsia="Open Sans" w:hAnsi="Open Sans" w:cs="Open Sans"/>
        </w:rPr>
        <w:t>,</w:t>
      </w:r>
      <w:r w:rsidRPr="0BA05A84">
        <w:rPr>
          <w:rFonts w:ascii="Open Sans" w:eastAsia="Open Sans" w:hAnsi="Open Sans" w:cs="Open Sans"/>
        </w:rPr>
        <w:t xml:space="preserve"> and overall </w:t>
      </w:r>
      <w:r w:rsidR="0650E6E9" w:rsidRPr="0BA05A84">
        <w:rPr>
          <w:rFonts w:ascii="Open Sans" w:eastAsia="Open Sans" w:hAnsi="Open Sans" w:cs="Open Sans"/>
        </w:rPr>
        <w:t>financial security</w:t>
      </w:r>
      <w:r w:rsidRPr="0BA05A84">
        <w:rPr>
          <w:rFonts w:ascii="Open Sans" w:eastAsia="Open Sans" w:hAnsi="Open Sans" w:cs="Open Sans"/>
        </w:rPr>
        <w:t xml:space="preserve"> of millions of households.</w:t>
      </w:r>
    </w:p>
    <w:p w14:paraId="476EF91E" w14:textId="47D9D647" w:rsidR="4FF0E35E" w:rsidRDefault="473C8661" w:rsidP="59123555">
      <w:pPr>
        <w:spacing w:line="276" w:lineRule="auto"/>
        <w:rPr>
          <w:rFonts w:ascii="Open Sans" w:eastAsia="Open Sans" w:hAnsi="Open Sans" w:cs="Open Sans"/>
        </w:rPr>
      </w:pPr>
      <w:r w:rsidRPr="0BA05A84">
        <w:rPr>
          <w:rFonts w:ascii="Open Sans" w:eastAsia="Open Sans" w:hAnsi="Open Sans" w:cs="Open Sans"/>
        </w:rPr>
        <w:t xml:space="preserve">Realizing the human right to housing entails guaranteeing the availability of affordable, accessible housing to all who require it. Housing affordability often leads to housing stability, and individual safety and security. </w:t>
      </w:r>
    </w:p>
    <w:p w14:paraId="537B7FAE" w14:textId="2C040F87" w:rsidR="4FF0E35E" w:rsidRDefault="473C8661" w:rsidP="59123555">
      <w:pPr>
        <w:spacing w:line="276" w:lineRule="auto"/>
        <w:rPr>
          <w:rFonts w:ascii="Open Sans" w:eastAsia="Open Sans" w:hAnsi="Open Sans" w:cs="Open Sans"/>
        </w:rPr>
      </w:pPr>
      <w:r w:rsidRPr="0BA05A84">
        <w:rPr>
          <w:rFonts w:ascii="Open Sans" w:eastAsia="Open Sans" w:hAnsi="Open Sans" w:cs="Open Sans"/>
          <w:color w:val="000000" w:themeColor="text1"/>
        </w:rPr>
        <w:t>Inequities remain in our federal tax system, but we can change this system to do a better job of addressing the affordable housing and homelessness crisis.</w:t>
      </w:r>
      <w:r w:rsidR="7C633B87" w:rsidRPr="0BA05A84">
        <w:rPr>
          <w:rFonts w:ascii="Open Sans" w:eastAsia="Open Sans" w:hAnsi="Open Sans" w:cs="Open Sans"/>
        </w:rPr>
        <w:t xml:space="preserve"> For </w:t>
      </w:r>
      <w:r w:rsidR="75FE429D" w:rsidRPr="0BA05A84">
        <w:rPr>
          <w:rFonts w:ascii="Open Sans" w:eastAsia="Open Sans" w:hAnsi="Open Sans" w:cs="Open Sans"/>
        </w:rPr>
        <w:t>decades</w:t>
      </w:r>
      <w:r w:rsidR="7C633B87" w:rsidRPr="0BA05A84">
        <w:rPr>
          <w:rFonts w:ascii="Open Sans" w:eastAsia="Open Sans" w:hAnsi="Open Sans" w:cs="Open Sans"/>
        </w:rPr>
        <w:t xml:space="preserve">, policymakers have used tax policy to </w:t>
      </w:r>
      <w:r w:rsidR="0C9B776F" w:rsidRPr="0BA05A84">
        <w:rPr>
          <w:rFonts w:ascii="Open Sans" w:eastAsia="Open Sans" w:hAnsi="Open Sans" w:cs="Open Sans"/>
        </w:rPr>
        <w:t xml:space="preserve">concentrate wealth </w:t>
      </w:r>
      <w:r w:rsidR="4F2984A2" w:rsidRPr="0BA05A84">
        <w:rPr>
          <w:rFonts w:ascii="Open Sans" w:eastAsia="Open Sans" w:hAnsi="Open Sans" w:cs="Open Sans"/>
        </w:rPr>
        <w:t xml:space="preserve">mostly among those who already have it. This has </w:t>
      </w:r>
      <w:r w:rsidR="7C633B87" w:rsidRPr="0BA05A84">
        <w:rPr>
          <w:rFonts w:ascii="Open Sans" w:eastAsia="Open Sans" w:hAnsi="Open Sans" w:cs="Open Sans"/>
        </w:rPr>
        <w:t>create</w:t>
      </w:r>
      <w:r w:rsidR="4F2984A2" w:rsidRPr="0BA05A84">
        <w:rPr>
          <w:rFonts w:ascii="Open Sans" w:eastAsia="Open Sans" w:hAnsi="Open Sans" w:cs="Open Sans"/>
        </w:rPr>
        <w:t>d</w:t>
      </w:r>
      <w:r w:rsidR="7C633B87" w:rsidRPr="0BA05A84">
        <w:rPr>
          <w:rFonts w:ascii="Open Sans" w:eastAsia="Open Sans" w:hAnsi="Open Sans" w:cs="Open Sans"/>
        </w:rPr>
        <w:t>, maintain</w:t>
      </w:r>
      <w:r w:rsidR="4F2984A2" w:rsidRPr="0BA05A84">
        <w:rPr>
          <w:rFonts w:ascii="Open Sans" w:eastAsia="Open Sans" w:hAnsi="Open Sans" w:cs="Open Sans"/>
        </w:rPr>
        <w:t>ed</w:t>
      </w:r>
      <w:r w:rsidR="7C633B87" w:rsidRPr="0BA05A84">
        <w:rPr>
          <w:rFonts w:ascii="Open Sans" w:eastAsia="Open Sans" w:hAnsi="Open Sans" w:cs="Open Sans"/>
        </w:rPr>
        <w:t>, and even increase</w:t>
      </w:r>
      <w:r w:rsidR="4F2984A2" w:rsidRPr="0BA05A84">
        <w:rPr>
          <w:rFonts w:ascii="Open Sans" w:eastAsia="Open Sans" w:hAnsi="Open Sans" w:cs="Open Sans"/>
        </w:rPr>
        <w:t>d</w:t>
      </w:r>
      <w:r w:rsidR="7C633B87" w:rsidRPr="0BA05A84">
        <w:rPr>
          <w:rFonts w:ascii="Open Sans" w:eastAsia="Open Sans" w:hAnsi="Open Sans" w:cs="Open Sans"/>
        </w:rPr>
        <w:t xml:space="preserve"> </w:t>
      </w:r>
      <w:r w:rsidR="6DB92DA6" w:rsidRPr="0BA05A84">
        <w:rPr>
          <w:rFonts w:ascii="Open Sans" w:eastAsia="Open Sans" w:hAnsi="Open Sans" w:cs="Open Sans"/>
        </w:rPr>
        <w:t xml:space="preserve">disparities in </w:t>
      </w:r>
      <w:r w:rsidR="7C633B87" w:rsidRPr="0BA05A84">
        <w:rPr>
          <w:rFonts w:ascii="Open Sans" w:eastAsia="Open Sans" w:hAnsi="Open Sans" w:cs="Open Sans"/>
        </w:rPr>
        <w:t xml:space="preserve">income and wealth. </w:t>
      </w:r>
      <w:r w:rsidR="00BDE56D" w:rsidRPr="0BA05A84">
        <w:rPr>
          <w:rFonts w:ascii="Open Sans" w:eastAsia="Open Sans" w:hAnsi="Open Sans" w:cs="Open Sans"/>
        </w:rPr>
        <w:t>Lawmakers have done</w:t>
      </w:r>
      <w:r w:rsidR="7C633B87" w:rsidRPr="0BA05A84">
        <w:rPr>
          <w:rFonts w:ascii="Open Sans" w:eastAsia="Open Sans" w:hAnsi="Open Sans" w:cs="Open Sans"/>
        </w:rPr>
        <w:t xml:space="preserve"> little to address these disparities or create opportunities for low- and middle-income people to build wealth. While there are progressive elements of the tax code, it often benefits wealthy people and corporations, leaving </w:t>
      </w:r>
      <w:r w:rsidR="49F5B75E" w:rsidRPr="0BA05A84">
        <w:rPr>
          <w:rFonts w:ascii="Open Sans" w:eastAsia="Open Sans" w:hAnsi="Open Sans" w:cs="Open Sans"/>
        </w:rPr>
        <w:t>everyone else</w:t>
      </w:r>
      <w:r w:rsidR="7C633B87" w:rsidRPr="0BA05A84">
        <w:rPr>
          <w:rFonts w:ascii="Open Sans" w:eastAsia="Open Sans" w:hAnsi="Open Sans" w:cs="Open Sans"/>
        </w:rPr>
        <w:t xml:space="preserve"> behind.</w:t>
      </w:r>
    </w:p>
    <w:p w14:paraId="5911F5F9" w14:textId="7423D384" w:rsidR="0BA05A84" w:rsidRDefault="0BA05A84" w:rsidP="0BA05A84">
      <w:pPr>
        <w:spacing w:line="276" w:lineRule="auto"/>
      </w:pPr>
      <w:r>
        <w:rPr>
          <w:noProof/>
        </w:rPr>
        <w:lastRenderedPageBreak/>
        <w:drawing>
          <wp:inline distT="0" distB="0" distL="0" distR="0" wp14:anchorId="5FACB917" wp14:editId="417BBD70">
            <wp:extent cx="5591060" cy="3867150"/>
            <wp:effectExtent l="0" t="0" r="0" b="0"/>
            <wp:docPr id="26180897" name="Picture 26180897" descr="Two graphs displaying median family welath, in 2018 dollars, and share of U.S. aggregate family wealth by income tax. Upper income share of welath has gone from 60% in 1983 to 79% in 2016, while middle income has decreased from 32% to 17% and lower income has decreased from 7% to 4%." title="The gaps in wealth between upper-income and middle- and lower-income families are rising, and the share held by middle-income families is f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91060" cy="3867150"/>
                    </a:xfrm>
                    <a:prstGeom prst="rect">
                      <a:avLst/>
                    </a:prstGeom>
                  </pic:spPr>
                </pic:pic>
              </a:graphicData>
            </a:graphic>
          </wp:inline>
        </w:drawing>
      </w:r>
    </w:p>
    <w:p w14:paraId="274DEFC2" w14:textId="0CC2AFF0" w:rsidR="0BA05A84" w:rsidRDefault="0BA05A84" w:rsidP="0BA05A84">
      <w:pPr>
        <w:spacing w:line="276" w:lineRule="auto"/>
        <w:rPr>
          <w:rFonts w:ascii="Open Sans" w:eastAsia="Open Sans" w:hAnsi="Open Sans" w:cs="Open Sans"/>
          <w:sz w:val="16"/>
          <w:szCs w:val="16"/>
        </w:rPr>
      </w:pPr>
      <w:r w:rsidRPr="0BA05A84">
        <w:rPr>
          <w:rFonts w:ascii="Open Sans" w:eastAsia="Open Sans" w:hAnsi="Open Sans" w:cs="Open Sans"/>
          <w:sz w:val="16"/>
          <w:szCs w:val="16"/>
        </w:rPr>
        <w:t>Source: https://www.pewresearch.org/social-trends/2020/01/09/trends-in-income-and-wealth-inequality/</w:t>
      </w:r>
    </w:p>
    <w:p w14:paraId="7C699449" w14:textId="4230984D" w:rsidR="4FF0E35E" w:rsidRDefault="7C633B87" w:rsidP="59123555">
      <w:pPr>
        <w:spacing w:line="276" w:lineRule="auto"/>
        <w:rPr>
          <w:rFonts w:ascii="Open Sans" w:eastAsia="Open Sans" w:hAnsi="Open Sans" w:cs="Open Sans"/>
        </w:rPr>
      </w:pPr>
      <w:r w:rsidRPr="59123555">
        <w:rPr>
          <w:rFonts w:ascii="Open Sans" w:eastAsia="Open Sans" w:hAnsi="Open Sans" w:cs="Open Sans"/>
        </w:rPr>
        <w:t xml:space="preserve">At RESULTS, we are dedicated to creating a progressive tax code that serves as a tool for addressing poverty and inequality in the United States. RESULTS has a long history of building bipartisan support for anti-poverty policies, including </w:t>
      </w:r>
      <w:r w:rsidR="1AA4A49A" w:rsidRPr="59123555">
        <w:rPr>
          <w:rFonts w:ascii="Open Sans" w:eastAsia="Open Sans" w:hAnsi="Open Sans" w:cs="Open Sans"/>
        </w:rPr>
        <w:t xml:space="preserve">targeted </w:t>
      </w:r>
      <w:r w:rsidRPr="59123555">
        <w:rPr>
          <w:rFonts w:ascii="Open Sans" w:eastAsia="Open Sans" w:hAnsi="Open Sans" w:cs="Open Sans"/>
        </w:rPr>
        <w:t>tax credits</w:t>
      </w:r>
      <w:r w:rsidR="1AA4A49A" w:rsidRPr="59123555">
        <w:rPr>
          <w:rFonts w:ascii="Open Sans" w:eastAsia="Open Sans" w:hAnsi="Open Sans" w:cs="Open Sans"/>
        </w:rPr>
        <w:t xml:space="preserve"> for low-income Americans</w:t>
      </w:r>
      <w:r w:rsidRPr="59123555">
        <w:rPr>
          <w:rFonts w:ascii="Open Sans" w:eastAsia="Open Sans" w:hAnsi="Open Sans" w:cs="Open Sans"/>
        </w:rPr>
        <w:t>. Now, we are hoping to reach a group that is often forgotten by tax policymakers: renters.</w:t>
      </w:r>
      <w:r w:rsidR="473C8661" w:rsidRPr="59123555">
        <w:rPr>
          <w:rFonts w:ascii="Open Sans" w:eastAsia="Open Sans" w:hAnsi="Open Sans" w:cs="Open Sans"/>
        </w:rPr>
        <w:t xml:space="preserve"> </w:t>
      </w:r>
    </w:p>
    <w:p w14:paraId="61C37879" w14:textId="03F9176E" w:rsidR="4FF0E35E" w:rsidRDefault="473C8661" w:rsidP="59123555">
      <w:pPr>
        <w:spacing w:line="276" w:lineRule="auto"/>
        <w:rPr>
          <w:rFonts w:ascii="Open Sans" w:eastAsia="Open Sans" w:hAnsi="Open Sans" w:cs="Open Sans"/>
        </w:rPr>
      </w:pPr>
      <w:r w:rsidRPr="59123555">
        <w:rPr>
          <w:rFonts w:ascii="Open Sans" w:eastAsia="Open Sans" w:hAnsi="Open Sans" w:cs="Open Sans"/>
        </w:rPr>
        <w:t>This document explains what a renter’s tax credit is, why it is needed, and how it could work to benefit struggling tenants across the country.</w:t>
      </w:r>
    </w:p>
    <w:p w14:paraId="62A28BFF" w14:textId="461DAFAC" w:rsidR="3CCE253A" w:rsidRPr="004B0D08" w:rsidRDefault="473C8661" w:rsidP="59123555">
      <w:pPr>
        <w:pStyle w:val="Heading1"/>
        <w:spacing w:line="276" w:lineRule="auto"/>
        <w:rPr>
          <w:rFonts w:ascii="Open Sans" w:eastAsia="Open Sans" w:hAnsi="Open Sans" w:cs="Open Sans"/>
          <w:b/>
          <w:bCs/>
          <w:color w:val="D50032"/>
          <w:sz w:val="28"/>
          <w:szCs w:val="28"/>
        </w:rPr>
      </w:pPr>
      <w:r w:rsidRPr="59123555">
        <w:rPr>
          <w:rFonts w:ascii="Open Sans" w:eastAsia="Open Sans" w:hAnsi="Open Sans" w:cs="Open Sans"/>
          <w:b/>
          <w:bCs/>
          <w:color w:val="D50032"/>
          <w:sz w:val="28"/>
          <w:szCs w:val="28"/>
        </w:rPr>
        <w:t>Why Renters?</w:t>
      </w:r>
    </w:p>
    <w:p w14:paraId="7CE688A0" w14:textId="610D3142" w:rsidR="1CEE3226" w:rsidRDefault="6759B0E5" w:rsidP="59123555">
      <w:pPr>
        <w:spacing w:line="276" w:lineRule="auto"/>
        <w:rPr>
          <w:rFonts w:ascii="Open Sans" w:eastAsia="Open Sans" w:hAnsi="Open Sans" w:cs="Open Sans"/>
        </w:rPr>
      </w:pPr>
      <w:r w:rsidRPr="3CCE253A">
        <w:rPr>
          <w:rFonts w:ascii="Open Sans" w:eastAsia="Open Sans" w:hAnsi="Open Sans" w:cs="Open Sans"/>
        </w:rPr>
        <w:t>Renters are often left behind by the existing tax code. Despite their contributions to the economy, many tax breaks, such as the mortgage interest deduction, the first-time homebuyer credit, and state and local deductions, only benefit homeowners</w:t>
      </w:r>
      <w:r w:rsidR="2FEADFCE">
        <w:rPr>
          <w:rFonts w:ascii="Open Sans" w:eastAsia="Open Sans" w:hAnsi="Open Sans" w:cs="Open Sans"/>
        </w:rPr>
        <w:t xml:space="preserve">. </w:t>
      </w:r>
      <w:r w:rsidR="603E479C">
        <w:rPr>
          <w:rFonts w:ascii="Open Sans" w:eastAsia="Open Sans" w:hAnsi="Open Sans" w:cs="Open Sans"/>
        </w:rPr>
        <w:t>This</w:t>
      </w:r>
      <w:r w:rsidRPr="3CCE253A">
        <w:rPr>
          <w:rFonts w:ascii="Open Sans" w:eastAsia="Open Sans" w:hAnsi="Open Sans" w:cs="Open Sans"/>
        </w:rPr>
        <w:t xml:space="preserve"> contribute</w:t>
      </w:r>
      <w:r w:rsidR="603E479C">
        <w:rPr>
          <w:rFonts w:ascii="Open Sans" w:eastAsia="Open Sans" w:hAnsi="Open Sans" w:cs="Open Sans"/>
        </w:rPr>
        <w:t>s</w:t>
      </w:r>
      <w:r w:rsidRPr="3CCE253A">
        <w:rPr>
          <w:rFonts w:ascii="Open Sans" w:eastAsia="Open Sans" w:hAnsi="Open Sans" w:cs="Open Sans"/>
        </w:rPr>
        <w:t xml:space="preserve"> to </w:t>
      </w:r>
      <w:r w:rsidRPr="007C2FFD">
        <w:rPr>
          <w:rFonts w:ascii="Open Sans" w:eastAsia="Open Sans" w:hAnsi="Open Sans" w:cs="Open Sans"/>
        </w:rPr>
        <w:t>widening wealth disparities</w:t>
      </w:r>
      <w:r w:rsidRPr="3CCE253A">
        <w:rPr>
          <w:rFonts w:ascii="Open Sans" w:eastAsia="Open Sans" w:hAnsi="Open Sans" w:cs="Open Sans"/>
        </w:rPr>
        <w:t>.</w:t>
      </w:r>
      <w:r w:rsidR="008B073D">
        <w:rPr>
          <w:rStyle w:val="EndnoteReference"/>
          <w:rFonts w:ascii="Open Sans" w:eastAsia="Open Sans" w:hAnsi="Open Sans" w:cs="Open Sans"/>
        </w:rPr>
        <w:endnoteReference w:id="2"/>
      </w:r>
      <w:r w:rsidRPr="3CCE253A">
        <w:rPr>
          <w:rFonts w:ascii="Open Sans" w:eastAsia="Open Sans" w:hAnsi="Open Sans" w:cs="Open Sans"/>
        </w:rPr>
        <w:t xml:space="preserve"> </w:t>
      </w:r>
      <w:r w:rsidR="2781F492">
        <w:rPr>
          <w:rFonts w:ascii="Open Sans" w:eastAsia="Open Sans" w:hAnsi="Open Sans" w:cs="Open Sans"/>
        </w:rPr>
        <w:t>Prioritiz</w:t>
      </w:r>
      <w:r w:rsidRPr="3CCE253A">
        <w:rPr>
          <w:rFonts w:ascii="Open Sans" w:eastAsia="Open Sans" w:hAnsi="Open Sans" w:cs="Open Sans"/>
        </w:rPr>
        <w:t>ing no- and low-income renters is an important step in creating a progressive tax code.</w:t>
      </w:r>
    </w:p>
    <w:p w14:paraId="27189DFC" w14:textId="79B1722E" w:rsidR="59123555" w:rsidRDefault="59123555" w:rsidP="59123555">
      <w:pPr>
        <w:spacing w:line="276" w:lineRule="auto"/>
      </w:pPr>
      <w:r>
        <w:rPr>
          <w:noProof/>
        </w:rPr>
        <w:lastRenderedPageBreak/>
        <w:drawing>
          <wp:inline distT="0" distB="0" distL="0" distR="0" wp14:anchorId="217BAA97" wp14:editId="4FEE8A9E">
            <wp:extent cx="5532504" cy="4114800"/>
            <wp:effectExtent l="0" t="0" r="0" b="0"/>
            <wp:docPr id="1019731916" name="Picture 1019731916" descr="A graph showing that mortgage interest has decreased as a percentage of total household expenses from 2002 to 2019, while rent has increased." title="Change in housing expenditures as a share of total household expenditures, by tenure and income, 2002 t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32504" cy="4114800"/>
                    </a:xfrm>
                    <a:prstGeom prst="rect">
                      <a:avLst/>
                    </a:prstGeom>
                  </pic:spPr>
                </pic:pic>
              </a:graphicData>
            </a:graphic>
          </wp:inline>
        </w:drawing>
      </w:r>
    </w:p>
    <w:p w14:paraId="061BB712" w14:textId="183826F0" w:rsidR="59123555" w:rsidRDefault="59123555" w:rsidP="0BA05A84">
      <w:pPr>
        <w:spacing w:line="276" w:lineRule="auto"/>
        <w:rPr>
          <w:rFonts w:ascii="Open Sans" w:eastAsia="Open Sans" w:hAnsi="Open Sans" w:cs="Open Sans"/>
          <w:sz w:val="16"/>
          <w:szCs w:val="16"/>
        </w:rPr>
      </w:pPr>
      <w:r w:rsidRPr="0BA05A84">
        <w:rPr>
          <w:rFonts w:ascii="Open Sans" w:eastAsia="Open Sans" w:hAnsi="Open Sans" w:cs="Open Sans"/>
          <w:sz w:val="16"/>
          <w:szCs w:val="16"/>
        </w:rPr>
        <w:t xml:space="preserve">Source: </w:t>
      </w:r>
      <w:hyperlink r:id="rId13">
        <w:r w:rsidRPr="0BA05A84">
          <w:rPr>
            <w:rStyle w:val="Hyperlink"/>
            <w:rFonts w:ascii="Open Sans" w:eastAsia="Open Sans" w:hAnsi="Open Sans" w:cs="Open Sans"/>
            <w:sz w:val="16"/>
            <w:szCs w:val="16"/>
          </w:rPr>
          <w:t>https://www.hamiltonproject.org/assets/files/A_Comparison_of_Renters_and_Homeowners.pdf</w:t>
        </w:r>
      </w:hyperlink>
      <w:r w:rsidRPr="0BA05A84">
        <w:rPr>
          <w:rFonts w:ascii="Open Sans" w:eastAsia="Open Sans" w:hAnsi="Open Sans" w:cs="Open Sans"/>
          <w:sz w:val="16"/>
          <w:szCs w:val="16"/>
        </w:rPr>
        <w:t xml:space="preserve"> </w:t>
      </w:r>
    </w:p>
    <w:p w14:paraId="711D15C7" w14:textId="17904A11" w:rsidR="4FF0E35E" w:rsidRDefault="7C633B87" w:rsidP="59123555">
      <w:pPr>
        <w:spacing w:line="276" w:lineRule="auto"/>
        <w:rPr>
          <w:rFonts w:ascii="Open Sans" w:eastAsia="Open Sans" w:hAnsi="Open Sans" w:cs="Open Sans"/>
        </w:rPr>
      </w:pPr>
      <w:r w:rsidRPr="007D511B">
        <w:rPr>
          <w:rFonts w:ascii="Open Sans" w:eastAsia="Open Sans" w:hAnsi="Open Sans" w:cs="Open Sans"/>
        </w:rPr>
        <w:t>High rent costs are a severe burden on low-income renter households</w:t>
      </w:r>
      <w:r w:rsidRPr="3CCE253A">
        <w:rPr>
          <w:rFonts w:ascii="Open Sans" w:eastAsia="Open Sans" w:hAnsi="Open Sans" w:cs="Open Sans"/>
        </w:rPr>
        <w:t>.</w:t>
      </w:r>
      <w:r w:rsidR="007C2FFD">
        <w:rPr>
          <w:rStyle w:val="EndnoteReference"/>
          <w:rFonts w:ascii="Open Sans" w:eastAsia="Open Sans" w:hAnsi="Open Sans" w:cs="Open Sans"/>
        </w:rPr>
        <w:endnoteReference w:id="3"/>
      </w:r>
      <w:r w:rsidRPr="3CCE253A">
        <w:rPr>
          <w:rFonts w:ascii="Open Sans" w:eastAsia="Open Sans" w:hAnsi="Open Sans" w:cs="Open Sans"/>
        </w:rPr>
        <w:t xml:space="preserve"> Even before the COVID-19 pandemic, millions of people in the United States struggled to afford housing. Now, rents are skyrocketing, and people are struggling even more to keep up. To make matters worse, wages are not increasing with rents. </w:t>
      </w:r>
      <w:r w:rsidR="46DE4796">
        <w:rPr>
          <w:rFonts w:ascii="Open Sans" w:eastAsia="Open Sans" w:hAnsi="Open Sans" w:cs="Open Sans"/>
        </w:rPr>
        <w:t>Right now</w:t>
      </w:r>
      <w:r w:rsidRPr="3CCE253A">
        <w:rPr>
          <w:rFonts w:ascii="Open Sans" w:eastAsia="Open Sans" w:hAnsi="Open Sans" w:cs="Open Sans"/>
        </w:rPr>
        <w:t xml:space="preserve">, </w:t>
      </w:r>
      <w:r w:rsidRPr="00A0170C">
        <w:rPr>
          <w:rFonts w:ascii="Open Sans" w:eastAsia="Open Sans" w:hAnsi="Open Sans" w:cs="Open Sans"/>
        </w:rPr>
        <w:t>a minimum-wage worker cannot afford a two-bedroom apartment in any state in the United States.</w:t>
      </w:r>
      <w:r w:rsidR="00C11F6A">
        <w:rPr>
          <w:rStyle w:val="EndnoteReference"/>
          <w:rFonts w:ascii="Open Sans" w:eastAsia="Open Sans" w:hAnsi="Open Sans" w:cs="Open Sans"/>
          <w:color w:val="0563C1" w:themeColor="hyperlink"/>
          <w:u w:val="single"/>
        </w:rPr>
        <w:endnoteReference w:id="4"/>
      </w:r>
      <w:r w:rsidRPr="3CCE253A">
        <w:rPr>
          <w:rFonts w:ascii="Open Sans" w:eastAsia="Open Sans" w:hAnsi="Open Sans" w:cs="Open Sans"/>
        </w:rPr>
        <w:t xml:space="preserve"> A recent report found that </w:t>
      </w:r>
      <w:r w:rsidRPr="0088217C">
        <w:rPr>
          <w:rFonts w:ascii="Open Sans" w:eastAsia="Open Sans" w:hAnsi="Open Sans" w:cs="Open Sans"/>
        </w:rPr>
        <w:t>nearly half of all renter households are spending more than 30</w:t>
      </w:r>
      <w:r w:rsidR="5696134B">
        <w:rPr>
          <w:rFonts w:ascii="Open Sans" w:eastAsia="Open Sans" w:hAnsi="Open Sans" w:cs="Open Sans"/>
        </w:rPr>
        <w:t xml:space="preserve"> percent</w:t>
      </w:r>
      <w:r w:rsidR="5696134B" w:rsidRPr="0088217C">
        <w:rPr>
          <w:rFonts w:ascii="Open Sans" w:eastAsia="Open Sans" w:hAnsi="Open Sans" w:cs="Open Sans"/>
        </w:rPr>
        <w:t xml:space="preserve"> </w:t>
      </w:r>
      <w:r w:rsidRPr="0088217C">
        <w:rPr>
          <w:rFonts w:ascii="Open Sans" w:eastAsia="Open Sans" w:hAnsi="Open Sans" w:cs="Open Sans"/>
        </w:rPr>
        <w:t>of their incomes on rent and utilities each month,</w:t>
      </w:r>
      <w:r w:rsidRPr="3CCE253A">
        <w:rPr>
          <w:rFonts w:ascii="Open Sans" w:eastAsia="Open Sans" w:hAnsi="Open Sans" w:cs="Open Sans"/>
        </w:rPr>
        <w:t xml:space="preserve"> forcing people to make an impossible choice between housing and other necessities like food or healthcare.</w:t>
      </w:r>
      <w:r w:rsidR="00A0170C">
        <w:rPr>
          <w:rStyle w:val="EndnoteReference"/>
          <w:rFonts w:ascii="Open Sans" w:eastAsia="Open Sans" w:hAnsi="Open Sans" w:cs="Open Sans"/>
        </w:rPr>
        <w:endnoteReference w:id="5"/>
      </w:r>
      <w:r w:rsidRPr="3CCE253A">
        <w:rPr>
          <w:rFonts w:ascii="Open Sans" w:eastAsia="Open Sans" w:hAnsi="Open Sans" w:cs="Open Sans"/>
        </w:rPr>
        <w:t xml:space="preserve"> </w:t>
      </w:r>
      <w:r w:rsidR="420C7E0C">
        <w:rPr>
          <w:rFonts w:ascii="Open Sans" w:eastAsia="Open Sans" w:hAnsi="Open Sans" w:cs="Open Sans"/>
        </w:rPr>
        <w:t>And when t</w:t>
      </w:r>
      <w:r w:rsidRPr="3CCE253A">
        <w:rPr>
          <w:rFonts w:ascii="Open Sans" w:eastAsia="Open Sans" w:hAnsi="Open Sans" w:cs="Open Sans"/>
        </w:rPr>
        <w:t>ax benefits</w:t>
      </w:r>
      <w:r w:rsidR="1150302A">
        <w:rPr>
          <w:rFonts w:ascii="Open Sans" w:eastAsia="Open Sans" w:hAnsi="Open Sans" w:cs="Open Sans"/>
        </w:rPr>
        <w:t xml:space="preserve"> are</w:t>
      </w:r>
      <w:r w:rsidRPr="3CCE253A">
        <w:rPr>
          <w:rFonts w:ascii="Open Sans" w:eastAsia="Open Sans" w:hAnsi="Open Sans" w:cs="Open Sans"/>
        </w:rPr>
        <w:t xml:space="preserve"> given to homeowners, landlords, and developers</w:t>
      </w:r>
      <w:r w:rsidR="1150302A">
        <w:rPr>
          <w:rFonts w:ascii="Open Sans" w:eastAsia="Open Sans" w:hAnsi="Open Sans" w:cs="Open Sans"/>
        </w:rPr>
        <w:t>, they are no</w:t>
      </w:r>
      <w:r w:rsidRPr="3CCE253A">
        <w:rPr>
          <w:rFonts w:ascii="Open Sans" w:eastAsia="Open Sans" w:hAnsi="Open Sans" w:cs="Open Sans"/>
        </w:rPr>
        <w:t>t necessarily pass</w:t>
      </w:r>
      <w:r w:rsidR="1150302A">
        <w:rPr>
          <w:rFonts w:ascii="Open Sans" w:eastAsia="Open Sans" w:hAnsi="Open Sans" w:cs="Open Sans"/>
        </w:rPr>
        <w:t>ed</w:t>
      </w:r>
      <w:r w:rsidRPr="3CCE253A">
        <w:rPr>
          <w:rFonts w:ascii="Open Sans" w:eastAsia="Open Sans" w:hAnsi="Open Sans" w:cs="Open Sans"/>
        </w:rPr>
        <w:t xml:space="preserve"> down to renters. </w:t>
      </w:r>
    </w:p>
    <w:p w14:paraId="1C3FB231" w14:textId="269ACCA8" w:rsidR="4FF0E35E" w:rsidRDefault="7C633B87" w:rsidP="59123555">
      <w:pPr>
        <w:spacing w:line="276" w:lineRule="auto"/>
        <w:rPr>
          <w:rFonts w:ascii="Open Sans" w:eastAsia="Open Sans" w:hAnsi="Open Sans" w:cs="Open Sans"/>
        </w:rPr>
      </w:pPr>
      <w:r w:rsidRPr="0BA05A84">
        <w:rPr>
          <w:rFonts w:ascii="Open Sans" w:eastAsia="Open Sans" w:hAnsi="Open Sans" w:cs="Open Sans"/>
        </w:rPr>
        <w:t>Tax credits and other tax benefits would immediately and directly help people afford their rent</w:t>
      </w:r>
      <w:r w:rsidR="5A1CCE18" w:rsidRPr="0BA05A84">
        <w:rPr>
          <w:rFonts w:ascii="Open Sans" w:eastAsia="Open Sans" w:hAnsi="Open Sans" w:cs="Open Sans"/>
        </w:rPr>
        <w:t>,</w:t>
      </w:r>
      <w:r w:rsidRPr="0BA05A84">
        <w:rPr>
          <w:rFonts w:ascii="Open Sans" w:eastAsia="Open Sans" w:hAnsi="Open Sans" w:cs="Open Sans"/>
        </w:rPr>
        <w:t xml:space="preserve"> provid</w:t>
      </w:r>
      <w:r w:rsidR="5A1CCE18" w:rsidRPr="0BA05A84">
        <w:rPr>
          <w:rFonts w:ascii="Open Sans" w:eastAsia="Open Sans" w:hAnsi="Open Sans" w:cs="Open Sans"/>
        </w:rPr>
        <w:t>ing</w:t>
      </w:r>
      <w:r w:rsidRPr="0BA05A84">
        <w:rPr>
          <w:rFonts w:ascii="Open Sans" w:eastAsia="Open Sans" w:hAnsi="Open Sans" w:cs="Open Sans"/>
        </w:rPr>
        <w:t xml:space="preserve"> housing stability</w:t>
      </w:r>
      <w:r w:rsidR="1E5F422F" w:rsidRPr="0BA05A84">
        <w:rPr>
          <w:rFonts w:ascii="Open Sans" w:eastAsia="Open Sans" w:hAnsi="Open Sans" w:cs="Open Sans"/>
        </w:rPr>
        <w:t xml:space="preserve"> and</w:t>
      </w:r>
      <w:r w:rsidRPr="0BA05A84">
        <w:rPr>
          <w:rFonts w:ascii="Open Sans" w:eastAsia="Open Sans" w:hAnsi="Open Sans" w:cs="Open Sans"/>
        </w:rPr>
        <w:t xml:space="preserve"> preventing evictions and homelessness. It would also give people the freedom to spend their incomes on other necessities, such as food, clothing, healthcare, and childcare. The tax code, if designed to benefit and prioritize renters, could also help lift households further away from poverty and give them more </w:t>
      </w:r>
      <w:r w:rsidRPr="0BA05A84">
        <w:rPr>
          <w:rFonts w:ascii="Open Sans" w:eastAsia="Open Sans" w:hAnsi="Open Sans" w:cs="Open Sans"/>
        </w:rPr>
        <w:lastRenderedPageBreak/>
        <w:t>freedom and financial security</w:t>
      </w:r>
      <w:r w:rsidR="201B835A" w:rsidRPr="0BA05A84">
        <w:rPr>
          <w:rFonts w:ascii="Open Sans" w:eastAsia="Open Sans" w:hAnsi="Open Sans" w:cs="Open Sans"/>
        </w:rPr>
        <w:t>. We would all benefit</w:t>
      </w:r>
      <w:r w:rsidR="4BBF4A05" w:rsidRPr="0BA05A84">
        <w:rPr>
          <w:rFonts w:ascii="Open Sans" w:eastAsia="Open Sans" w:hAnsi="Open Sans" w:cs="Open Sans"/>
        </w:rPr>
        <w:t xml:space="preserve"> from</w:t>
      </w:r>
      <w:r w:rsidRPr="0BA05A84">
        <w:rPr>
          <w:rFonts w:ascii="Open Sans" w:eastAsia="Open Sans" w:hAnsi="Open Sans" w:cs="Open Sans"/>
        </w:rPr>
        <w:t xml:space="preserve"> a healthier, happier population </w:t>
      </w:r>
      <w:r w:rsidR="19B3A214" w:rsidRPr="0BA05A84">
        <w:rPr>
          <w:rFonts w:ascii="Open Sans" w:eastAsia="Open Sans" w:hAnsi="Open Sans" w:cs="Open Sans"/>
        </w:rPr>
        <w:t>that</w:t>
      </w:r>
      <w:r w:rsidRPr="0BA05A84">
        <w:rPr>
          <w:rFonts w:ascii="Open Sans" w:eastAsia="Open Sans" w:hAnsi="Open Sans" w:cs="Open Sans"/>
        </w:rPr>
        <w:t xml:space="preserve"> thrive</w:t>
      </w:r>
      <w:r w:rsidR="19B3A214" w:rsidRPr="0BA05A84">
        <w:rPr>
          <w:rFonts w:ascii="Open Sans" w:eastAsia="Open Sans" w:hAnsi="Open Sans" w:cs="Open Sans"/>
        </w:rPr>
        <w:t>s</w:t>
      </w:r>
      <w:r w:rsidR="21C4A00A" w:rsidRPr="0BA05A84">
        <w:rPr>
          <w:rFonts w:ascii="Open Sans" w:eastAsia="Open Sans" w:hAnsi="Open Sans" w:cs="Open Sans"/>
        </w:rPr>
        <w:t xml:space="preserve"> and promotes </w:t>
      </w:r>
      <w:r w:rsidR="03EE782E" w:rsidRPr="0BA05A84">
        <w:rPr>
          <w:rFonts w:ascii="Open Sans" w:eastAsia="Open Sans" w:hAnsi="Open Sans" w:cs="Open Sans"/>
        </w:rPr>
        <w:t>economic growth</w:t>
      </w:r>
      <w:r w:rsidRPr="0BA05A84">
        <w:rPr>
          <w:rFonts w:ascii="Open Sans" w:eastAsia="Open Sans" w:hAnsi="Open Sans" w:cs="Open Sans"/>
        </w:rPr>
        <w:t xml:space="preserve">. </w:t>
      </w:r>
    </w:p>
    <w:p w14:paraId="3D259FD2" w14:textId="29286497" w:rsidR="3CCE253A" w:rsidRPr="004B0D08" w:rsidRDefault="473C8661" w:rsidP="59123555">
      <w:pPr>
        <w:pStyle w:val="Heading1"/>
        <w:spacing w:line="276" w:lineRule="auto"/>
        <w:rPr>
          <w:rFonts w:ascii="Open Sans" w:eastAsia="Open Sans" w:hAnsi="Open Sans" w:cs="Open Sans"/>
          <w:b/>
          <w:bCs/>
          <w:color w:val="D50032"/>
          <w:sz w:val="28"/>
          <w:szCs w:val="28"/>
        </w:rPr>
      </w:pPr>
      <w:r w:rsidRPr="59123555">
        <w:rPr>
          <w:rFonts w:ascii="Open Sans" w:eastAsia="Open Sans" w:hAnsi="Open Sans" w:cs="Open Sans"/>
          <w:b/>
          <w:bCs/>
          <w:color w:val="D50032"/>
          <w:sz w:val="28"/>
          <w:szCs w:val="28"/>
        </w:rPr>
        <w:t>What is a Renter’s Tax Credit?</w:t>
      </w:r>
    </w:p>
    <w:p w14:paraId="6F67FAD2" w14:textId="67E2F156" w:rsidR="4FF0E35E" w:rsidRDefault="52F06D67" w:rsidP="0BA05A84">
      <w:pPr>
        <w:spacing w:line="276" w:lineRule="auto"/>
        <w:rPr>
          <w:rFonts w:ascii="Open Sans" w:eastAsia="Open Sans" w:hAnsi="Open Sans" w:cs="Open Sans"/>
          <w:i/>
          <w:iCs/>
        </w:rPr>
      </w:pPr>
      <w:r w:rsidRPr="0BA05A84">
        <w:rPr>
          <w:rFonts w:ascii="Open Sans" w:eastAsia="Open Sans" w:hAnsi="Open Sans" w:cs="Open Sans"/>
        </w:rPr>
        <w:t>A renters’ tax credit would cap out-of-pocket rent and utilities expenses, so that low-income families can afford a safe place to live without sacrificing other basic needs. It</w:t>
      </w:r>
      <w:r w:rsidR="7C633B87" w:rsidRPr="0BA05A84">
        <w:rPr>
          <w:rFonts w:ascii="Open Sans" w:eastAsia="Open Sans" w:hAnsi="Open Sans" w:cs="Open Sans"/>
        </w:rPr>
        <w:t xml:space="preserve"> would provide direct, immediate relief to struggling renters. With a renter’s tax credit, households who are considered </w:t>
      </w:r>
      <w:r w:rsidR="5B944098" w:rsidRPr="0BA05A84">
        <w:rPr>
          <w:rFonts w:ascii="Open Sans" w:eastAsia="Open Sans" w:hAnsi="Open Sans" w:cs="Open Sans"/>
        </w:rPr>
        <w:t>“</w:t>
      </w:r>
      <w:r w:rsidR="7C633B87" w:rsidRPr="0BA05A84">
        <w:rPr>
          <w:rFonts w:ascii="Open Sans" w:eastAsia="Open Sans" w:hAnsi="Open Sans" w:cs="Open Sans"/>
        </w:rPr>
        <w:t>rent-burdened</w:t>
      </w:r>
      <w:r w:rsidR="5B944098" w:rsidRPr="0BA05A84">
        <w:rPr>
          <w:rFonts w:ascii="Open Sans" w:eastAsia="Open Sans" w:hAnsi="Open Sans" w:cs="Open Sans"/>
        </w:rPr>
        <w:t>"</w:t>
      </w:r>
      <w:r w:rsidR="7C633B87" w:rsidRPr="0BA05A84">
        <w:rPr>
          <w:rFonts w:ascii="Open Sans" w:eastAsia="Open Sans" w:hAnsi="Open Sans" w:cs="Open Sans"/>
        </w:rPr>
        <w:t xml:space="preserve"> would receive a tax benefit based on their income and/or how much they spend on rent. </w:t>
      </w:r>
      <w:r w:rsidRPr="0BA05A84">
        <w:rPr>
          <w:rFonts w:ascii="Open Sans" w:eastAsia="Open Sans" w:hAnsi="Open Sans" w:cs="Open Sans"/>
        </w:rPr>
        <w:t xml:space="preserve">A renter’s tax credit uses the tax code to deliver targeted relief to struggling renter households, </w:t>
      </w:r>
      <w:proofErr w:type="gramStart"/>
      <w:r w:rsidRPr="0BA05A84">
        <w:rPr>
          <w:rFonts w:ascii="Open Sans" w:eastAsia="Open Sans" w:hAnsi="Open Sans" w:cs="Open Sans"/>
        </w:rPr>
        <w:t>similar to</w:t>
      </w:r>
      <w:proofErr w:type="gramEnd"/>
      <w:r w:rsidRPr="0BA05A84">
        <w:rPr>
          <w:rFonts w:ascii="Open Sans" w:eastAsia="Open Sans" w:hAnsi="Open Sans" w:cs="Open Sans"/>
        </w:rPr>
        <w:t xml:space="preserve"> the Child Tax Credit and Earned Income Tax Credit.</w:t>
      </w:r>
    </w:p>
    <w:p w14:paraId="267F658D" w14:textId="34511F9E" w:rsidR="6CBBF7A9" w:rsidRDefault="782FAC5E" w:rsidP="59123555">
      <w:pPr>
        <w:spacing w:line="276" w:lineRule="auto"/>
        <w:rPr>
          <w:rFonts w:ascii="Open Sans" w:eastAsia="Open Sans" w:hAnsi="Open Sans" w:cs="Open Sans"/>
        </w:rPr>
      </w:pPr>
      <w:r w:rsidRPr="59123555">
        <w:rPr>
          <w:rFonts w:ascii="Open Sans" w:eastAsia="Open Sans" w:hAnsi="Open Sans" w:cs="Open Sans"/>
        </w:rPr>
        <w:t>A renter’s tax credit could be calculated in different ways. One method is based on the relationship between a household’s income and the amount of rent they pay. A household is considered rent-burdened if they pay more than 30</w:t>
      </w:r>
      <w:r w:rsidR="55DCEC91" w:rsidRPr="59123555">
        <w:rPr>
          <w:rFonts w:ascii="Open Sans" w:eastAsia="Open Sans" w:hAnsi="Open Sans" w:cs="Open Sans"/>
        </w:rPr>
        <w:t xml:space="preserve"> percent</w:t>
      </w:r>
      <w:r w:rsidRPr="59123555">
        <w:rPr>
          <w:rFonts w:ascii="Open Sans" w:eastAsia="Open Sans" w:hAnsi="Open Sans" w:cs="Open Sans"/>
        </w:rPr>
        <w:t xml:space="preserve"> of their income toward rent. This means that we could base a renter’s tax credit on this percentage. The basic formula for this could be as follows:</w:t>
      </w:r>
    </w:p>
    <w:p w14:paraId="2711C9ED" w14:textId="7A46CDCF" w:rsidR="6CBBF7A9" w:rsidRDefault="782FAC5E" w:rsidP="59123555">
      <w:pPr>
        <w:spacing w:line="276" w:lineRule="auto"/>
        <w:jc w:val="center"/>
        <w:rPr>
          <w:rFonts w:ascii="Open Sans" w:eastAsia="Open Sans" w:hAnsi="Open Sans" w:cs="Open Sans"/>
          <w:i/>
          <w:iCs/>
        </w:rPr>
      </w:pPr>
      <w:r w:rsidRPr="59123555">
        <w:rPr>
          <w:rFonts w:ascii="Open Sans" w:eastAsia="Open Sans" w:hAnsi="Open Sans" w:cs="Open Sans"/>
          <w:i/>
          <w:iCs/>
        </w:rPr>
        <w:t xml:space="preserve">credit amount = rent paid </w:t>
      </w:r>
      <w:r w:rsidR="454F446C" w:rsidRPr="59123555">
        <w:rPr>
          <w:rFonts w:ascii="Open Sans" w:eastAsia="Open Sans" w:hAnsi="Open Sans" w:cs="Open Sans"/>
          <w:i/>
          <w:iCs/>
        </w:rPr>
        <w:t>–</w:t>
      </w:r>
      <w:r w:rsidRPr="59123555">
        <w:rPr>
          <w:rFonts w:ascii="Open Sans" w:eastAsia="Open Sans" w:hAnsi="Open Sans" w:cs="Open Sans"/>
          <w:i/>
          <w:iCs/>
        </w:rPr>
        <w:t xml:space="preserve"> 30</w:t>
      </w:r>
      <w:r w:rsidR="454F446C" w:rsidRPr="59123555">
        <w:rPr>
          <w:rFonts w:ascii="Open Sans" w:eastAsia="Open Sans" w:hAnsi="Open Sans" w:cs="Open Sans"/>
          <w:i/>
          <w:iCs/>
        </w:rPr>
        <w:t xml:space="preserve"> percent</w:t>
      </w:r>
      <w:r w:rsidRPr="59123555">
        <w:rPr>
          <w:rFonts w:ascii="Open Sans" w:eastAsia="Open Sans" w:hAnsi="Open Sans" w:cs="Open Sans"/>
          <w:i/>
          <w:iCs/>
        </w:rPr>
        <w:t xml:space="preserve"> of income</w:t>
      </w:r>
    </w:p>
    <w:p w14:paraId="27AD9B35" w14:textId="7B4DEE4A" w:rsidR="6CBBF7A9" w:rsidRDefault="782FAC5E" w:rsidP="59123555">
      <w:pPr>
        <w:spacing w:line="276" w:lineRule="auto"/>
        <w:rPr>
          <w:rFonts w:ascii="Open Sans" w:hAnsi="Open Sans" w:cs="Open Sans"/>
          <w:color w:val="000000" w:themeColor="text1"/>
        </w:rPr>
      </w:pPr>
      <w:r w:rsidRPr="0BA05A84">
        <w:rPr>
          <w:rFonts w:ascii="Open Sans" w:eastAsia="Open Sans" w:hAnsi="Open Sans" w:cs="Open Sans"/>
        </w:rPr>
        <w:t xml:space="preserve">For example, if someone makes $1,000 per month, technically they should only spend $300 per month (30 percent) on rent. If they spend $500 per month on rent, this is $200 more than they should be forced to spend. To make up for this, they would receive a $200 per month renter’s tax credit. </w:t>
      </w:r>
    </w:p>
    <w:p w14:paraId="7E144405" w14:textId="159BB653" w:rsidR="6CBBF7A9" w:rsidRDefault="63965CCF" w:rsidP="59123555">
      <w:pPr>
        <w:spacing w:line="276" w:lineRule="auto"/>
        <w:rPr>
          <w:rFonts w:ascii="Open Sans" w:hAnsi="Open Sans" w:cs="Open Sans"/>
          <w:color w:val="000000" w:themeColor="text1"/>
        </w:rPr>
      </w:pPr>
      <w:r w:rsidRPr="59123555">
        <w:rPr>
          <w:rFonts w:ascii="Open Sans" w:hAnsi="Open Sans" w:cs="Open Sans"/>
          <w:color w:val="000000" w:themeColor="text1"/>
        </w:rPr>
        <w:t xml:space="preserve">Although a federal renter’s tax credit has not yet been enacted, several members of Congress have introduced refundable renter’s tax credit legislation. </w:t>
      </w:r>
      <w:r w:rsidR="0BA05A84" w:rsidRPr="0BA05A84">
        <w:rPr>
          <w:rFonts w:ascii="Open Sans" w:hAnsi="Open Sans" w:cs="Open Sans"/>
          <w:color w:val="000000" w:themeColor="text1"/>
        </w:rPr>
        <w:t xml:space="preserve">One was by then Sen. Kamala Harris (S1106, </w:t>
      </w:r>
      <w:hyperlink r:id="rId14">
        <w:r w:rsidR="0BA05A84" w:rsidRPr="0BA05A84">
          <w:rPr>
            <w:rFonts w:ascii="Open Sans" w:hAnsi="Open Sans" w:cs="Open Sans"/>
            <w:color w:val="0563C1"/>
            <w:u w:val="single"/>
          </w:rPr>
          <w:t>https://bit.ly/3bNA2i0</w:t>
        </w:r>
      </w:hyperlink>
      <w:r w:rsidR="0BA05A84" w:rsidRPr="0BA05A84">
        <w:rPr>
          <w:rFonts w:ascii="Open Sans" w:hAnsi="Open Sans" w:cs="Open Sans"/>
          <w:color w:val="000000" w:themeColor="text1"/>
        </w:rPr>
        <w:t>), with a companion bill from Rep. Danny Davis (</w:t>
      </w:r>
      <w:hyperlink r:id="rId15">
        <w:r w:rsidR="0BA05A84" w:rsidRPr="0BA05A84">
          <w:rPr>
            <w:rFonts w:ascii="Open Sans" w:hAnsi="Open Sans" w:cs="Open Sans"/>
            <w:color w:val="000000" w:themeColor="text1"/>
          </w:rPr>
          <w:t>HR2169,</w:t>
        </w:r>
      </w:hyperlink>
      <w:r w:rsidR="0BA05A84" w:rsidRPr="0BA05A84">
        <w:rPr>
          <w:rFonts w:ascii="Open Sans" w:hAnsi="Open Sans" w:cs="Open Sans"/>
          <w:color w:val="000000" w:themeColor="text1"/>
        </w:rPr>
        <w:t xml:space="preserve"> </w:t>
      </w:r>
      <w:hyperlink r:id="rId16">
        <w:r w:rsidR="0BA05A84" w:rsidRPr="0BA05A84">
          <w:rPr>
            <w:rFonts w:ascii="Open Sans" w:hAnsi="Open Sans" w:cs="Open Sans"/>
            <w:color w:val="0563C1"/>
            <w:u w:val="single"/>
          </w:rPr>
          <w:t>https://bit.ly/3bNA2i0</w:t>
        </w:r>
      </w:hyperlink>
      <w:r w:rsidR="0BA05A84" w:rsidRPr="0BA05A84">
        <w:rPr>
          <w:rFonts w:ascii="Open Sans" w:hAnsi="Open Sans" w:cs="Open Sans"/>
          <w:color w:val="000000" w:themeColor="text1"/>
        </w:rPr>
        <w:t>); and the other was by Sen. Cory Booker (</w:t>
      </w:r>
      <w:hyperlink r:id="rId17">
        <w:r w:rsidR="0BA05A84" w:rsidRPr="0BA05A84">
          <w:rPr>
            <w:rFonts w:ascii="Open Sans" w:hAnsi="Open Sans" w:cs="Open Sans"/>
            <w:color w:val="000000" w:themeColor="text1"/>
          </w:rPr>
          <w:t>S2684,</w:t>
        </w:r>
      </w:hyperlink>
      <w:r w:rsidR="0BA05A84" w:rsidRPr="0BA05A84">
        <w:rPr>
          <w:rFonts w:ascii="Open Sans" w:hAnsi="Open Sans" w:cs="Open Sans"/>
          <w:color w:val="000000" w:themeColor="text1"/>
        </w:rPr>
        <w:t xml:space="preserve"> </w:t>
      </w:r>
      <w:hyperlink r:id="rId18">
        <w:r w:rsidR="0BA05A84" w:rsidRPr="0BA05A84">
          <w:rPr>
            <w:rFonts w:ascii="Open Sans" w:hAnsi="Open Sans" w:cs="Open Sans"/>
            <w:color w:val="0563C1"/>
            <w:u w:val="single"/>
          </w:rPr>
          <w:t>https://bit.ly/3nu6xnZ</w:t>
        </w:r>
      </w:hyperlink>
      <w:r w:rsidR="0BA05A84" w:rsidRPr="0BA05A84">
        <w:rPr>
          <w:rFonts w:ascii="Open Sans" w:hAnsi="Open Sans" w:cs="Open Sans"/>
          <w:color w:val="000000" w:themeColor="text1"/>
        </w:rPr>
        <w:t>) with a companion bill from Rep. Jim Clyburn (</w:t>
      </w:r>
      <w:hyperlink r:id="rId19">
        <w:r w:rsidR="0BA05A84" w:rsidRPr="0BA05A84">
          <w:rPr>
            <w:rFonts w:ascii="Open Sans" w:hAnsi="Open Sans" w:cs="Open Sans"/>
            <w:color w:val="000000" w:themeColor="text1"/>
          </w:rPr>
          <w:t>HR4808</w:t>
        </w:r>
      </w:hyperlink>
      <w:r w:rsidR="0BA05A84" w:rsidRPr="0BA05A84">
        <w:rPr>
          <w:rFonts w:ascii="Open Sans" w:hAnsi="Open Sans" w:cs="Open Sans"/>
          <w:color w:val="000000" w:themeColor="text1"/>
        </w:rPr>
        <w:t xml:space="preserve">, </w:t>
      </w:r>
      <w:hyperlink r:id="rId20">
        <w:r w:rsidR="0BA05A84" w:rsidRPr="0BA05A84">
          <w:rPr>
            <w:rFonts w:ascii="Open Sans" w:hAnsi="Open Sans" w:cs="Open Sans"/>
            <w:color w:val="0563C1"/>
            <w:u w:val="single"/>
          </w:rPr>
          <w:t>https://bit.ly/3OZE19w</w:t>
        </w:r>
      </w:hyperlink>
      <w:r w:rsidR="0BA05A84" w:rsidRPr="0BA05A84">
        <w:rPr>
          <w:rFonts w:ascii="Open Sans" w:hAnsi="Open Sans" w:cs="Open Sans"/>
          <w:color w:val="000000" w:themeColor="text1"/>
        </w:rPr>
        <w:t>).</w:t>
      </w:r>
      <w:r w:rsidR="6CBBF7A9" w:rsidRPr="0BA05A84">
        <w:rPr>
          <w:rFonts w:ascii="Open Sans" w:hAnsi="Open Sans" w:cs="Open Sans"/>
          <w:color w:val="000000" w:themeColor="text1"/>
          <w:vertAlign w:val="superscript"/>
        </w:rPr>
        <w:endnoteReference w:id="6"/>
      </w:r>
      <w:r w:rsidRPr="0BA05A84">
        <w:rPr>
          <w:rFonts w:ascii="Open Sans" w:hAnsi="Open Sans" w:cs="Open Sans"/>
          <w:color w:val="000000" w:themeColor="text1"/>
        </w:rPr>
        <w:t xml:space="preserve"> These proposals seek to provide relief to a broader population of struggling renters uniformly across the nation. The </w:t>
      </w:r>
      <w:proofErr w:type="spellStart"/>
      <w:r w:rsidRPr="59123555">
        <w:rPr>
          <w:rFonts w:ascii="Open Sans" w:hAnsi="Open Sans" w:cs="Open Sans"/>
          <w:color w:val="000000" w:themeColor="text1"/>
        </w:rPr>
        <w:t>Terner</w:t>
      </w:r>
      <w:proofErr w:type="spellEnd"/>
      <w:r w:rsidRPr="59123555">
        <w:rPr>
          <w:rFonts w:ascii="Open Sans" w:hAnsi="Open Sans" w:cs="Open Sans"/>
          <w:color w:val="000000" w:themeColor="text1"/>
        </w:rPr>
        <w:t xml:space="preserve"> Center for Housing Innovation at the University of California, Berkeley drafted a </w:t>
      </w:r>
      <w:r w:rsidRPr="59123555">
        <w:rPr>
          <w:rFonts w:ascii="Open Sans" w:hAnsi="Open Sans" w:cs="Open Sans"/>
        </w:rPr>
        <w:t>seminal paper</w:t>
      </w:r>
      <w:r w:rsidRPr="59123555">
        <w:rPr>
          <w:rFonts w:ascii="Open Sans" w:hAnsi="Open Sans" w:cs="Open Sans"/>
          <w:color w:val="000000" w:themeColor="text1"/>
        </w:rPr>
        <w:t xml:space="preserve"> that formed the basis for these various policy proposals in Congress.</w:t>
      </w:r>
      <w:r w:rsidR="6CBBF7A9" w:rsidRPr="59123555">
        <w:rPr>
          <w:rFonts w:ascii="Open Sans" w:hAnsi="Open Sans" w:cs="Open Sans"/>
          <w:color w:val="000000" w:themeColor="text1"/>
          <w:vertAlign w:val="superscript"/>
        </w:rPr>
        <w:endnoteReference w:id="7"/>
      </w:r>
      <w:r w:rsidRPr="59123555">
        <w:rPr>
          <w:rFonts w:ascii="Open Sans" w:hAnsi="Open Sans" w:cs="Open Sans"/>
          <w:color w:val="000000" w:themeColor="text1"/>
        </w:rPr>
        <w:t xml:space="preserve">  What distinguishes these federal proposals from their state counterparts (more below) is that the refundable tax credit will be paid out </w:t>
      </w:r>
      <w:proofErr w:type="gramStart"/>
      <w:r w:rsidRPr="59123555">
        <w:rPr>
          <w:rFonts w:ascii="Open Sans" w:hAnsi="Open Sans" w:cs="Open Sans"/>
          <w:color w:val="000000" w:themeColor="text1"/>
        </w:rPr>
        <w:t>on a monthly basis</w:t>
      </w:r>
      <w:proofErr w:type="gramEnd"/>
      <w:r w:rsidRPr="59123555">
        <w:rPr>
          <w:rFonts w:ascii="Open Sans" w:hAnsi="Open Sans" w:cs="Open Sans"/>
          <w:color w:val="000000" w:themeColor="text1"/>
        </w:rPr>
        <w:t>, just like rent.</w:t>
      </w:r>
    </w:p>
    <w:p w14:paraId="5F7AA947" w14:textId="1DA8F084" w:rsidR="00294FCC" w:rsidRPr="00DE1FDF" w:rsidRDefault="61A8B499" w:rsidP="59123555">
      <w:pPr>
        <w:spacing w:line="276" w:lineRule="auto"/>
        <w:rPr>
          <w:rFonts w:ascii="Open Sans" w:hAnsi="Open Sans" w:cs="Open Sans"/>
        </w:rPr>
      </w:pPr>
      <w:r w:rsidRPr="00DE1FDF">
        <w:rPr>
          <w:rFonts w:ascii="Open Sans" w:hAnsi="Open Sans" w:cs="Open Sans"/>
        </w:rPr>
        <w:t>Many states already have some variation of a tax credit or deduction for renters in place, providing a lifeline to those who are eligible to receive them.</w:t>
      </w:r>
      <w:r w:rsidR="00294FCC" w:rsidRPr="00DE1FDF">
        <w:rPr>
          <w:rFonts w:ascii="Open Sans" w:hAnsi="Open Sans" w:cs="Open Sans"/>
          <w:vertAlign w:val="superscript"/>
        </w:rPr>
        <w:endnoteReference w:id="8"/>
      </w:r>
      <w:r w:rsidR="63965CCF" w:rsidRPr="00DE1FDF">
        <w:rPr>
          <w:rFonts w:ascii="Open Sans" w:hAnsi="Open Sans" w:cs="Open Sans"/>
        </w:rPr>
        <w:t xml:space="preserve"> But these benefits are not </w:t>
      </w:r>
      <w:r w:rsidR="63965CCF" w:rsidRPr="00DE1FDF">
        <w:rPr>
          <w:rFonts w:ascii="Open Sans" w:hAnsi="Open Sans" w:cs="Open Sans"/>
        </w:rPr>
        <w:lastRenderedPageBreak/>
        <w:t xml:space="preserve">sufficient to address the housing affordability crises that many households experience. </w:t>
      </w:r>
      <w:sdt>
        <w:sdtPr>
          <w:rPr>
            <w:rFonts w:ascii="Open Sans" w:hAnsi="Open Sans" w:cs="Open Sans"/>
          </w:rPr>
          <w:tag w:val="goog_rdk_1"/>
          <w:id w:val="942738937"/>
          <w:placeholder>
            <w:docPart w:val="DefaultPlaceholder_1081868574"/>
          </w:placeholder>
        </w:sdtPr>
        <w:sdtContent/>
      </w:sdt>
      <w:sdt>
        <w:sdtPr>
          <w:rPr>
            <w:rFonts w:ascii="Open Sans" w:hAnsi="Open Sans" w:cs="Open Sans"/>
          </w:rPr>
          <w:tag w:val="goog_rdk_2"/>
          <w:id w:val="1665581539"/>
          <w:placeholder>
            <w:docPart w:val="DefaultPlaceholder_1081868574"/>
          </w:placeholder>
        </w:sdtPr>
        <w:sdtContent/>
      </w:sdt>
      <w:r w:rsidR="63965CCF" w:rsidRPr="0BA05A84">
        <w:rPr>
          <w:rFonts w:ascii="Open Sans" w:hAnsi="Open Sans" w:cs="Open Sans"/>
        </w:rPr>
        <w:t xml:space="preserve">And none of them meet the criteria of being </w:t>
      </w:r>
      <w:bookmarkStart w:id="0" w:name="_Int_LTDbI6vo"/>
      <w:r w:rsidR="63965CCF" w:rsidRPr="0BA05A84">
        <w:rPr>
          <w:rFonts w:ascii="Open Sans" w:hAnsi="Open Sans" w:cs="Open Sans"/>
        </w:rPr>
        <w:t>a fully</w:t>
      </w:r>
      <w:bookmarkEnd w:id="0"/>
      <w:r w:rsidR="63965CCF" w:rsidRPr="0BA05A84">
        <w:rPr>
          <w:rFonts w:ascii="Open Sans" w:hAnsi="Open Sans" w:cs="Open Sans"/>
        </w:rPr>
        <w:t xml:space="preserve"> refundable, monthly credit. </w:t>
      </w:r>
      <w:sdt>
        <w:sdtPr>
          <w:rPr>
            <w:rFonts w:ascii="Open Sans" w:hAnsi="Open Sans" w:cs="Open Sans"/>
          </w:rPr>
          <w:tag w:val="goog_rdk_3"/>
          <w:id w:val="2048172570"/>
          <w:placeholder>
            <w:docPart w:val="DefaultPlaceholder_1081868574"/>
          </w:placeholder>
          <w:showingPlcHdr/>
        </w:sdtPr>
        <w:sdtContent>
          <w:r w:rsidR="63965CCF" w:rsidRPr="00DE1FDF">
            <w:rPr>
              <w:rFonts w:ascii="Open Sans" w:hAnsi="Open Sans" w:cs="Open Sans"/>
            </w:rPr>
            <w:t xml:space="preserve">     </w:t>
          </w:r>
        </w:sdtContent>
      </w:sdt>
    </w:p>
    <w:p w14:paraId="55D7F93E" w14:textId="4B54DC4C" w:rsidR="00294FCC" w:rsidRPr="00DE1FDF" w:rsidRDefault="63965CCF" w:rsidP="59123555">
      <w:pPr>
        <w:spacing w:line="276" w:lineRule="auto"/>
        <w:rPr>
          <w:rFonts w:ascii="Open Sans" w:hAnsi="Open Sans" w:cs="Open Sans"/>
          <w:color w:val="000000"/>
        </w:rPr>
      </w:pPr>
      <w:r w:rsidRPr="00DE1FDF">
        <w:rPr>
          <w:rFonts w:ascii="Open Sans" w:hAnsi="Open Sans" w:cs="Open Sans"/>
          <w:color w:val="000000"/>
        </w:rPr>
        <w:t>States such as Arizona,</w:t>
      </w:r>
      <w:r w:rsidR="00294FCC" w:rsidRPr="00DE1FDF">
        <w:rPr>
          <w:rFonts w:ascii="Open Sans" w:hAnsi="Open Sans" w:cs="Open Sans"/>
          <w:color w:val="000000"/>
          <w:vertAlign w:val="superscript"/>
        </w:rPr>
        <w:endnoteReference w:id="9"/>
      </w:r>
      <w:r w:rsidRPr="00DE1FDF">
        <w:rPr>
          <w:rFonts w:ascii="Open Sans" w:hAnsi="Open Sans" w:cs="Open Sans"/>
          <w:color w:val="000000"/>
        </w:rPr>
        <w:t xml:space="preserve"> Colorado,</w:t>
      </w:r>
      <w:r w:rsidR="00294FCC" w:rsidRPr="00DE1FDF">
        <w:rPr>
          <w:rFonts w:ascii="Open Sans" w:hAnsi="Open Sans" w:cs="Open Sans"/>
          <w:color w:val="000000"/>
          <w:vertAlign w:val="superscript"/>
        </w:rPr>
        <w:endnoteReference w:id="10"/>
      </w:r>
      <w:r w:rsidRPr="00DE1FDF">
        <w:rPr>
          <w:rFonts w:ascii="Open Sans" w:hAnsi="Open Sans" w:cs="Open Sans"/>
          <w:color w:val="000000"/>
        </w:rPr>
        <w:t xml:space="preserve"> Connecticut,</w:t>
      </w:r>
      <w:r w:rsidR="00294FCC" w:rsidRPr="00DE1FDF">
        <w:rPr>
          <w:rFonts w:ascii="Open Sans" w:hAnsi="Open Sans" w:cs="Open Sans"/>
          <w:color w:val="000000"/>
          <w:vertAlign w:val="superscript"/>
        </w:rPr>
        <w:endnoteReference w:id="11"/>
      </w:r>
      <w:r w:rsidRPr="00DE1FDF">
        <w:rPr>
          <w:rFonts w:ascii="Open Sans" w:hAnsi="Open Sans" w:cs="Open Sans"/>
          <w:color w:val="000000"/>
        </w:rPr>
        <w:t xml:space="preserve"> Iowa,</w:t>
      </w:r>
      <w:r w:rsidR="00294FCC" w:rsidRPr="00DE1FDF">
        <w:rPr>
          <w:rFonts w:ascii="Open Sans" w:hAnsi="Open Sans" w:cs="Open Sans"/>
          <w:color w:val="000000"/>
          <w:vertAlign w:val="superscript"/>
        </w:rPr>
        <w:endnoteReference w:id="12"/>
      </w:r>
      <w:r w:rsidRPr="00DE1FDF">
        <w:rPr>
          <w:rFonts w:ascii="Open Sans" w:hAnsi="Open Sans" w:cs="Open Sans"/>
          <w:color w:val="000000"/>
        </w:rPr>
        <w:t xml:space="preserve"> Missouri,</w:t>
      </w:r>
      <w:r w:rsidR="00294FCC" w:rsidRPr="00DE1FDF">
        <w:rPr>
          <w:rFonts w:ascii="Open Sans" w:hAnsi="Open Sans" w:cs="Open Sans"/>
          <w:color w:val="000000"/>
          <w:vertAlign w:val="superscript"/>
        </w:rPr>
        <w:endnoteReference w:id="13"/>
      </w:r>
      <w:r w:rsidRPr="00DE1FDF">
        <w:rPr>
          <w:rFonts w:ascii="Open Sans" w:hAnsi="Open Sans" w:cs="Open Sans"/>
          <w:color w:val="000000"/>
        </w:rPr>
        <w:t xml:space="preserve"> Montana,</w:t>
      </w:r>
      <w:r w:rsidR="00294FCC" w:rsidRPr="00DE1FDF">
        <w:rPr>
          <w:rFonts w:ascii="Open Sans" w:hAnsi="Open Sans" w:cs="Open Sans"/>
          <w:color w:val="000000"/>
          <w:vertAlign w:val="superscript"/>
        </w:rPr>
        <w:endnoteReference w:id="14"/>
      </w:r>
      <w:r w:rsidRPr="00DE1FDF">
        <w:rPr>
          <w:rFonts w:ascii="Open Sans" w:hAnsi="Open Sans" w:cs="Open Sans"/>
          <w:color w:val="000000"/>
        </w:rPr>
        <w:t xml:space="preserve"> New Mexico,</w:t>
      </w:r>
      <w:r w:rsidR="00294FCC" w:rsidRPr="00DE1FDF">
        <w:rPr>
          <w:rFonts w:ascii="Open Sans" w:hAnsi="Open Sans" w:cs="Open Sans"/>
          <w:color w:val="000000"/>
          <w:vertAlign w:val="superscript"/>
        </w:rPr>
        <w:endnoteReference w:id="15"/>
      </w:r>
      <w:r w:rsidRPr="00DE1FDF">
        <w:rPr>
          <w:rFonts w:ascii="Open Sans" w:hAnsi="Open Sans" w:cs="Open Sans"/>
          <w:color w:val="000000"/>
        </w:rPr>
        <w:t xml:space="preserve"> North Dakota,</w:t>
      </w:r>
      <w:r w:rsidR="00294FCC" w:rsidRPr="00DE1FDF">
        <w:rPr>
          <w:rFonts w:ascii="Open Sans" w:hAnsi="Open Sans" w:cs="Open Sans"/>
          <w:color w:val="000000"/>
          <w:vertAlign w:val="superscript"/>
        </w:rPr>
        <w:endnoteReference w:id="16"/>
      </w:r>
      <w:r w:rsidRPr="00DE1FDF">
        <w:rPr>
          <w:rFonts w:ascii="Open Sans" w:hAnsi="Open Sans" w:cs="Open Sans"/>
          <w:color w:val="000000"/>
        </w:rPr>
        <w:t xml:space="preserve"> Pennsylvania,</w:t>
      </w:r>
      <w:r w:rsidR="00294FCC" w:rsidRPr="00DE1FDF">
        <w:rPr>
          <w:rFonts w:ascii="Open Sans" w:hAnsi="Open Sans" w:cs="Open Sans"/>
          <w:color w:val="000000"/>
          <w:vertAlign w:val="superscript"/>
        </w:rPr>
        <w:endnoteReference w:id="17"/>
      </w:r>
      <w:r w:rsidRPr="00DE1FDF">
        <w:rPr>
          <w:rFonts w:ascii="Open Sans" w:hAnsi="Open Sans" w:cs="Open Sans"/>
          <w:color w:val="000000"/>
        </w:rPr>
        <w:t xml:space="preserve"> Rhode Island,</w:t>
      </w:r>
      <w:r w:rsidR="00294FCC" w:rsidRPr="00DE1FDF">
        <w:rPr>
          <w:rFonts w:ascii="Open Sans" w:hAnsi="Open Sans" w:cs="Open Sans"/>
          <w:color w:val="000000"/>
          <w:vertAlign w:val="superscript"/>
        </w:rPr>
        <w:endnoteReference w:id="18"/>
      </w:r>
      <w:r w:rsidRPr="00DE1FDF">
        <w:rPr>
          <w:rFonts w:ascii="Open Sans" w:hAnsi="Open Sans" w:cs="Open Sans"/>
          <w:color w:val="000000"/>
        </w:rPr>
        <w:t xml:space="preserve"> and Utah</w:t>
      </w:r>
      <w:r w:rsidR="00294FCC" w:rsidRPr="00DE1FDF">
        <w:rPr>
          <w:rFonts w:ascii="Open Sans" w:hAnsi="Open Sans" w:cs="Open Sans"/>
          <w:color w:val="000000"/>
          <w:vertAlign w:val="superscript"/>
        </w:rPr>
        <w:endnoteReference w:id="19"/>
      </w:r>
      <w:r w:rsidRPr="00DE1FDF">
        <w:rPr>
          <w:rFonts w:ascii="Open Sans" w:hAnsi="Open Sans" w:cs="Open Sans"/>
          <w:color w:val="000000"/>
        </w:rPr>
        <w:t xml:space="preserve"> have renter’s tax credits but limit eligibility to the elderly and/or people with disabilities. </w:t>
      </w:r>
    </w:p>
    <w:p w14:paraId="5E9177AD" w14:textId="77777777" w:rsidR="00294FCC" w:rsidRPr="00DE1FDF" w:rsidRDefault="63965CCF" w:rsidP="59123555">
      <w:pPr>
        <w:spacing w:line="276" w:lineRule="auto"/>
        <w:rPr>
          <w:rFonts w:ascii="Open Sans" w:hAnsi="Open Sans" w:cs="Open Sans"/>
          <w:color w:val="000000"/>
        </w:rPr>
      </w:pPr>
      <w:r w:rsidRPr="00DE1FDF">
        <w:rPr>
          <w:rFonts w:ascii="Open Sans" w:hAnsi="Open Sans" w:cs="Open Sans"/>
          <w:color w:val="000000"/>
        </w:rPr>
        <w:t>Some states, like Arizona,</w:t>
      </w:r>
      <w:r w:rsidR="00294FCC" w:rsidRPr="00DE1FDF">
        <w:rPr>
          <w:rFonts w:ascii="Open Sans" w:hAnsi="Open Sans" w:cs="Open Sans"/>
          <w:color w:val="000000"/>
          <w:vertAlign w:val="superscript"/>
        </w:rPr>
        <w:endnoteReference w:id="20"/>
      </w:r>
      <w:r w:rsidRPr="00DE1FDF">
        <w:rPr>
          <w:rFonts w:ascii="Open Sans" w:hAnsi="Open Sans" w:cs="Open Sans"/>
          <w:color w:val="000000"/>
        </w:rPr>
        <w:t xml:space="preserve"> California,</w:t>
      </w:r>
      <w:r w:rsidR="00294FCC" w:rsidRPr="00DE1FDF">
        <w:rPr>
          <w:rFonts w:ascii="Open Sans" w:hAnsi="Open Sans" w:cs="Open Sans"/>
          <w:color w:val="000000"/>
          <w:vertAlign w:val="superscript"/>
        </w:rPr>
        <w:endnoteReference w:id="21"/>
      </w:r>
      <w:r w:rsidRPr="00DE1FDF">
        <w:rPr>
          <w:rFonts w:ascii="Open Sans" w:hAnsi="Open Sans" w:cs="Open Sans"/>
          <w:color w:val="000000"/>
        </w:rPr>
        <w:t xml:space="preserve"> Hawaii,</w:t>
      </w:r>
      <w:r w:rsidR="00294FCC" w:rsidRPr="00DE1FDF">
        <w:rPr>
          <w:rFonts w:ascii="Open Sans" w:hAnsi="Open Sans" w:cs="Open Sans"/>
          <w:color w:val="000000"/>
          <w:vertAlign w:val="superscript"/>
        </w:rPr>
        <w:endnoteReference w:id="22"/>
      </w:r>
      <w:r w:rsidRPr="00DE1FDF">
        <w:rPr>
          <w:rFonts w:ascii="Open Sans" w:hAnsi="Open Sans" w:cs="Open Sans"/>
          <w:color w:val="000000"/>
        </w:rPr>
        <w:t xml:space="preserve"> Maryland,</w:t>
      </w:r>
      <w:r w:rsidR="00294FCC" w:rsidRPr="00DE1FDF">
        <w:rPr>
          <w:rFonts w:ascii="Open Sans" w:hAnsi="Open Sans" w:cs="Open Sans"/>
          <w:color w:val="000000"/>
          <w:vertAlign w:val="superscript"/>
        </w:rPr>
        <w:endnoteReference w:id="23"/>
      </w:r>
      <w:r w:rsidRPr="00DE1FDF">
        <w:rPr>
          <w:rFonts w:ascii="Open Sans" w:hAnsi="Open Sans" w:cs="Open Sans"/>
          <w:color w:val="000000"/>
        </w:rPr>
        <w:t xml:space="preserve"> Michigan,</w:t>
      </w:r>
      <w:r w:rsidR="00294FCC" w:rsidRPr="00DE1FDF">
        <w:rPr>
          <w:rFonts w:ascii="Open Sans" w:hAnsi="Open Sans" w:cs="Open Sans"/>
          <w:color w:val="000000"/>
          <w:vertAlign w:val="superscript"/>
        </w:rPr>
        <w:endnoteReference w:id="24"/>
      </w:r>
      <w:r w:rsidRPr="00DE1FDF">
        <w:rPr>
          <w:rFonts w:ascii="Open Sans" w:hAnsi="Open Sans" w:cs="Open Sans"/>
          <w:color w:val="000000"/>
        </w:rPr>
        <w:t xml:space="preserve"> Missouri,</w:t>
      </w:r>
      <w:r w:rsidR="00294FCC" w:rsidRPr="00DE1FDF">
        <w:rPr>
          <w:rFonts w:ascii="Open Sans" w:hAnsi="Open Sans" w:cs="Open Sans"/>
          <w:color w:val="000000"/>
          <w:vertAlign w:val="superscript"/>
        </w:rPr>
        <w:endnoteReference w:id="25"/>
      </w:r>
      <w:r w:rsidRPr="00DE1FDF">
        <w:rPr>
          <w:rFonts w:ascii="Open Sans" w:hAnsi="Open Sans" w:cs="Open Sans"/>
          <w:color w:val="000000"/>
        </w:rPr>
        <w:t xml:space="preserve"> Rhode Island,</w:t>
      </w:r>
      <w:r w:rsidR="00294FCC" w:rsidRPr="00DE1FDF">
        <w:rPr>
          <w:rFonts w:ascii="Open Sans" w:hAnsi="Open Sans" w:cs="Open Sans"/>
          <w:color w:val="000000"/>
          <w:vertAlign w:val="superscript"/>
        </w:rPr>
        <w:endnoteReference w:id="26"/>
      </w:r>
      <w:r w:rsidRPr="00DE1FDF">
        <w:rPr>
          <w:rFonts w:ascii="Open Sans" w:hAnsi="Open Sans" w:cs="Open Sans"/>
          <w:color w:val="000000"/>
        </w:rPr>
        <w:t xml:space="preserve"> and Utah</w:t>
      </w:r>
      <w:r w:rsidR="00294FCC" w:rsidRPr="00DE1FDF">
        <w:rPr>
          <w:rFonts w:ascii="Open Sans" w:hAnsi="Open Sans" w:cs="Open Sans"/>
          <w:color w:val="000000"/>
          <w:vertAlign w:val="superscript"/>
        </w:rPr>
        <w:endnoteReference w:id="27"/>
      </w:r>
      <w:r w:rsidRPr="00DE1FDF">
        <w:rPr>
          <w:rFonts w:ascii="Open Sans" w:hAnsi="Open Sans" w:cs="Open Sans"/>
          <w:color w:val="000000"/>
        </w:rPr>
        <w:t xml:space="preserve"> have renter’s tax credits that are not refundable and only reduce a household’s tax liability without providing any cash refund. </w:t>
      </w:r>
    </w:p>
    <w:p w14:paraId="2A1F72AD" w14:textId="1C0D2F77" w:rsidR="00294FCC" w:rsidRPr="00DE1FDF" w:rsidRDefault="63965CCF" w:rsidP="59123555">
      <w:pPr>
        <w:spacing w:line="276" w:lineRule="auto"/>
        <w:rPr>
          <w:rFonts w:ascii="Open Sans" w:hAnsi="Open Sans" w:cs="Open Sans"/>
          <w:color w:val="000000"/>
        </w:rPr>
      </w:pPr>
      <w:r w:rsidRPr="00DE1FDF">
        <w:rPr>
          <w:rFonts w:ascii="Open Sans" w:hAnsi="Open Sans" w:cs="Open Sans"/>
          <w:color w:val="000000"/>
        </w:rPr>
        <w:t>Similarly, Indiana,</w:t>
      </w:r>
      <w:r w:rsidR="00294FCC" w:rsidRPr="00DE1FDF">
        <w:rPr>
          <w:rFonts w:ascii="Open Sans" w:hAnsi="Open Sans" w:cs="Open Sans"/>
          <w:color w:val="000000"/>
          <w:vertAlign w:val="superscript"/>
        </w:rPr>
        <w:endnoteReference w:id="28"/>
      </w:r>
      <w:r w:rsidRPr="00DE1FDF">
        <w:rPr>
          <w:rFonts w:ascii="Open Sans" w:hAnsi="Open Sans" w:cs="Open Sans"/>
          <w:color w:val="000000"/>
        </w:rPr>
        <w:t xml:space="preserve"> Massachusetts,</w:t>
      </w:r>
      <w:r w:rsidR="00294FCC" w:rsidRPr="00DE1FDF">
        <w:rPr>
          <w:rFonts w:ascii="Open Sans" w:hAnsi="Open Sans" w:cs="Open Sans"/>
          <w:color w:val="000000"/>
          <w:vertAlign w:val="superscript"/>
        </w:rPr>
        <w:endnoteReference w:id="29"/>
      </w:r>
      <w:r w:rsidRPr="00DE1FDF">
        <w:rPr>
          <w:rFonts w:ascii="Open Sans" w:hAnsi="Open Sans" w:cs="Open Sans"/>
          <w:color w:val="000000"/>
        </w:rPr>
        <w:t xml:space="preserve"> and New Jersey</w:t>
      </w:r>
      <w:r w:rsidR="00294FCC" w:rsidRPr="00DE1FDF">
        <w:rPr>
          <w:rFonts w:ascii="Open Sans" w:hAnsi="Open Sans" w:cs="Open Sans"/>
          <w:color w:val="000000"/>
          <w:vertAlign w:val="superscript"/>
        </w:rPr>
        <w:endnoteReference w:id="30"/>
      </w:r>
      <w:r w:rsidRPr="00DE1FDF">
        <w:rPr>
          <w:rFonts w:ascii="Open Sans" w:hAnsi="Open Sans" w:cs="Open Sans"/>
          <w:color w:val="000000"/>
        </w:rPr>
        <w:t xml:space="preserve"> have deductions for renters that only reduce taxable income and do not benefit lower-income households. In other states where the cost of living is very high, like California</w:t>
      </w:r>
      <w:r w:rsidR="00294FCC" w:rsidRPr="00DE1FDF">
        <w:rPr>
          <w:rFonts w:ascii="Open Sans" w:hAnsi="Open Sans" w:cs="Open Sans"/>
          <w:color w:val="000000"/>
          <w:vertAlign w:val="superscript"/>
        </w:rPr>
        <w:endnoteReference w:id="31"/>
      </w:r>
      <w:r w:rsidRPr="00DE1FDF">
        <w:rPr>
          <w:rFonts w:ascii="Open Sans" w:hAnsi="Open Sans" w:cs="Open Sans"/>
          <w:color w:val="000000"/>
        </w:rPr>
        <w:t xml:space="preserve"> and Hawaii,</w:t>
      </w:r>
      <w:r w:rsidR="00294FCC" w:rsidRPr="00DE1FDF">
        <w:rPr>
          <w:rFonts w:ascii="Open Sans" w:hAnsi="Open Sans" w:cs="Open Sans"/>
          <w:color w:val="000000"/>
          <w:vertAlign w:val="superscript"/>
        </w:rPr>
        <w:endnoteReference w:id="32"/>
      </w:r>
      <w:r w:rsidRPr="00DE1FDF">
        <w:rPr>
          <w:rFonts w:ascii="Open Sans" w:hAnsi="Open Sans" w:cs="Open Sans"/>
          <w:color w:val="000000"/>
        </w:rPr>
        <w:t xml:space="preserve"> the renter’s tax credit is less than $100, which does not provide any tangible benefit to reduce rent hardships. </w:t>
      </w:r>
    </w:p>
    <w:p w14:paraId="61E6D64F" w14:textId="0DA911E0" w:rsidR="00294FCC" w:rsidRPr="00DE1FDF" w:rsidRDefault="63965CCF" w:rsidP="59123555">
      <w:pPr>
        <w:spacing w:line="276" w:lineRule="auto"/>
        <w:rPr>
          <w:rFonts w:ascii="Open Sans" w:hAnsi="Open Sans" w:cs="Open Sans"/>
          <w:color w:val="000000"/>
        </w:rPr>
      </w:pPr>
      <w:r w:rsidRPr="00DE1FDF">
        <w:rPr>
          <w:rFonts w:ascii="Open Sans" w:hAnsi="Open Sans" w:cs="Open Sans"/>
          <w:color w:val="000000"/>
        </w:rPr>
        <w:t>Additional states, such as Kentucky</w:t>
      </w:r>
      <w:r w:rsidR="00294FCC" w:rsidRPr="00DE1FDF">
        <w:rPr>
          <w:rFonts w:ascii="Open Sans" w:hAnsi="Open Sans" w:cs="Open Sans"/>
          <w:color w:val="000000"/>
          <w:vertAlign w:val="superscript"/>
        </w:rPr>
        <w:endnoteReference w:id="33"/>
      </w:r>
      <w:r w:rsidRPr="00DE1FDF">
        <w:rPr>
          <w:rFonts w:ascii="Open Sans" w:hAnsi="Open Sans" w:cs="Open Sans"/>
          <w:color w:val="000000"/>
        </w:rPr>
        <w:t xml:space="preserve"> and Nebraska,</w:t>
      </w:r>
      <w:r w:rsidR="00294FCC" w:rsidRPr="00DE1FDF">
        <w:rPr>
          <w:rFonts w:ascii="Open Sans" w:hAnsi="Open Sans" w:cs="Open Sans"/>
          <w:color w:val="000000"/>
          <w:vertAlign w:val="superscript"/>
        </w:rPr>
        <w:endnoteReference w:id="34"/>
      </w:r>
      <w:r w:rsidRPr="00DE1FDF">
        <w:rPr>
          <w:rFonts w:ascii="Open Sans" w:hAnsi="Open Sans" w:cs="Open Sans"/>
          <w:color w:val="000000"/>
        </w:rPr>
        <w:t xml:space="preserve"> have introduced legislation for a state-level renter’s tax credit. </w:t>
      </w:r>
    </w:p>
    <w:p w14:paraId="4186398B" w14:textId="5D33A8BD" w:rsidR="008C4D7E" w:rsidRPr="004B0D08" w:rsidRDefault="3BBC525F" w:rsidP="59123555">
      <w:pPr>
        <w:pStyle w:val="Heading1"/>
        <w:spacing w:line="276" w:lineRule="auto"/>
        <w:rPr>
          <w:rFonts w:ascii="Open Sans" w:eastAsia="Open Sans" w:hAnsi="Open Sans" w:cs="Open Sans"/>
          <w:b/>
          <w:bCs/>
          <w:i/>
          <w:iCs/>
          <w:color w:val="D50032"/>
          <w:sz w:val="28"/>
          <w:szCs w:val="28"/>
        </w:rPr>
      </w:pPr>
      <w:r w:rsidRPr="59123555">
        <w:rPr>
          <w:rFonts w:ascii="Open Sans" w:eastAsia="Open Sans" w:hAnsi="Open Sans" w:cs="Open Sans"/>
          <w:b/>
          <w:bCs/>
          <w:color w:val="D50032"/>
          <w:sz w:val="28"/>
          <w:szCs w:val="28"/>
        </w:rPr>
        <w:t>Wh</w:t>
      </w:r>
      <w:r w:rsidR="1B50BC4C" w:rsidRPr="59123555">
        <w:rPr>
          <w:rFonts w:ascii="Open Sans" w:eastAsia="Open Sans" w:hAnsi="Open Sans" w:cs="Open Sans"/>
          <w:b/>
          <w:bCs/>
          <w:color w:val="D50032"/>
          <w:sz w:val="28"/>
          <w:szCs w:val="28"/>
        </w:rPr>
        <w:t>at kind of</w:t>
      </w:r>
      <w:r w:rsidRPr="59123555">
        <w:rPr>
          <w:rFonts w:ascii="Open Sans" w:eastAsia="Open Sans" w:hAnsi="Open Sans" w:cs="Open Sans"/>
          <w:b/>
          <w:bCs/>
          <w:color w:val="D50032"/>
          <w:sz w:val="28"/>
          <w:szCs w:val="28"/>
        </w:rPr>
        <w:t xml:space="preserve"> </w:t>
      </w:r>
      <w:r w:rsidR="1B50BC4C" w:rsidRPr="59123555">
        <w:rPr>
          <w:rFonts w:ascii="Open Sans" w:eastAsia="Open Sans" w:hAnsi="Open Sans" w:cs="Open Sans"/>
          <w:b/>
          <w:bCs/>
          <w:color w:val="D50032"/>
          <w:sz w:val="28"/>
          <w:szCs w:val="28"/>
        </w:rPr>
        <w:t>Renter’s T</w:t>
      </w:r>
      <w:r w:rsidRPr="59123555">
        <w:rPr>
          <w:rFonts w:ascii="Open Sans" w:eastAsia="Open Sans" w:hAnsi="Open Sans" w:cs="Open Sans"/>
          <w:b/>
          <w:bCs/>
          <w:color w:val="D50032"/>
          <w:sz w:val="28"/>
          <w:szCs w:val="28"/>
        </w:rPr>
        <w:t xml:space="preserve">ax </w:t>
      </w:r>
      <w:r w:rsidR="1B50BC4C" w:rsidRPr="59123555">
        <w:rPr>
          <w:rFonts w:ascii="Open Sans" w:eastAsia="Open Sans" w:hAnsi="Open Sans" w:cs="Open Sans"/>
          <w:b/>
          <w:bCs/>
          <w:color w:val="D50032"/>
          <w:sz w:val="28"/>
          <w:szCs w:val="28"/>
        </w:rPr>
        <w:t>C</w:t>
      </w:r>
      <w:r w:rsidRPr="59123555">
        <w:rPr>
          <w:rFonts w:ascii="Open Sans" w:eastAsia="Open Sans" w:hAnsi="Open Sans" w:cs="Open Sans"/>
          <w:b/>
          <w:bCs/>
          <w:color w:val="D50032"/>
          <w:sz w:val="28"/>
          <w:szCs w:val="28"/>
        </w:rPr>
        <w:t>redit</w:t>
      </w:r>
      <w:r w:rsidR="1B50BC4C" w:rsidRPr="59123555">
        <w:rPr>
          <w:rFonts w:ascii="Open Sans" w:eastAsia="Open Sans" w:hAnsi="Open Sans" w:cs="Open Sans"/>
          <w:b/>
          <w:bCs/>
          <w:color w:val="D50032"/>
          <w:sz w:val="28"/>
          <w:szCs w:val="28"/>
        </w:rPr>
        <w:t xml:space="preserve"> do we need</w:t>
      </w:r>
      <w:r w:rsidRPr="59123555">
        <w:rPr>
          <w:rFonts w:ascii="Open Sans" w:eastAsia="Open Sans" w:hAnsi="Open Sans" w:cs="Open Sans"/>
          <w:b/>
          <w:bCs/>
          <w:color w:val="D50032"/>
          <w:sz w:val="28"/>
          <w:szCs w:val="28"/>
        </w:rPr>
        <w:t>?</w:t>
      </w:r>
    </w:p>
    <w:p w14:paraId="302E0680" w14:textId="5A430F69" w:rsidR="005E4879" w:rsidRPr="0070121E" w:rsidRDefault="1EC08363" w:rsidP="59123555">
      <w:pPr>
        <w:spacing w:line="276" w:lineRule="auto"/>
        <w:rPr>
          <w:rFonts w:ascii="Open Sans" w:eastAsia="Open Sans" w:hAnsi="Open Sans" w:cs="Open Sans"/>
        </w:rPr>
      </w:pPr>
      <w:proofErr w:type="gramStart"/>
      <w:r w:rsidRPr="59123555">
        <w:rPr>
          <w:rFonts w:ascii="Open Sans" w:eastAsia="Open Sans" w:hAnsi="Open Sans" w:cs="Open Sans"/>
        </w:rPr>
        <w:t>In order for</w:t>
      </w:r>
      <w:proofErr w:type="gramEnd"/>
      <w:r w:rsidRPr="59123555">
        <w:rPr>
          <w:rFonts w:ascii="Open Sans" w:eastAsia="Open Sans" w:hAnsi="Open Sans" w:cs="Open Sans"/>
        </w:rPr>
        <w:t xml:space="preserve"> a renter’s tax credit to truly help struggling renters, </w:t>
      </w:r>
      <w:r w:rsidR="26397D9C" w:rsidRPr="59123555">
        <w:rPr>
          <w:rFonts w:ascii="Open Sans" w:eastAsia="Open Sans" w:hAnsi="Open Sans" w:cs="Open Sans"/>
        </w:rPr>
        <w:t>the</w:t>
      </w:r>
      <w:r w:rsidRPr="59123555">
        <w:rPr>
          <w:rFonts w:ascii="Open Sans" w:eastAsia="Open Sans" w:hAnsi="Open Sans" w:cs="Open Sans"/>
        </w:rPr>
        <w:t xml:space="preserve"> credit </w:t>
      </w:r>
      <w:r w:rsidR="26397D9C" w:rsidRPr="59123555">
        <w:rPr>
          <w:rFonts w:ascii="Open Sans" w:eastAsia="Open Sans" w:hAnsi="Open Sans" w:cs="Open Sans"/>
        </w:rPr>
        <w:t xml:space="preserve">must </w:t>
      </w:r>
      <w:r w:rsidRPr="59123555">
        <w:rPr>
          <w:rFonts w:ascii="Open Sans" w:eastAsia="Open Sans" w:hAnsi="Open Sans" w:cs="Open Sans"/>
        </w:rPr>
        <w:t xml:space="preserve">be a </w:t>
      </w:r>
      <w:r w:rsidR="748A7A30" w:rsidRPr="59123555">
        <w:rPr>
          <w:rFonts w:ascii="Open Sans" w:eastAsia="Open Sans" w:hAnsi="Open Sans" w:cs="Open Sans"/>
          <w:b/>
          <w:bCs/>
        </w:rPr>
        <w:t>fully refundable</w:t>
      </w:r>
      <w:r w:rsidRPr="59123555">
        <w:rPr>
          <w:rFonts w:ascii="Open Sans" w:eastAsia="Open Sans" w:hAnsi="Open Sans" w:cs="Open Sans"/>
          <w:b/>
          <w:bCs/>
        </w:rPr>
        <w:t xml:space="preserve"> tax credit</w:t>
      </w:r>
      <w:r w:rsidRPr="59123555">
        <w:rPr>
          <w:rFonts w:ascii="Open Sans" w:eastAsia="Open Sans" w:hAnsi="Open Sans" w:cs="Open Sans"/>
        </w:rPr>
        <w:t xml:space="preserve">. There are </w:t>
      </w:r>
      <w:r w:rsidR="748A7A30" w:rsidRPr="59123555">
        <w:rPr>
          <w:rFonts w:ascii="Open Sans" w:eastAsia="Open Sans" w:hAnsi="Open Sans" w:cs="Open Sans"/>
        </w:rPr>
        <w:t>several</w:t>
      </w:r>
      <w:r w:rsidRPr="59123555">
        <w:rPr>
          <w:rFonts w:ascii="Open Sans" w:eastAsia="Open Sans" w:hAnsi="Open Sans" w:cs="Open Sans"/>
        </w:rPr>
        <w:t xml:space="preserve"> states who offer a refundable tax credit, including Maine, Minnesota, New York, Vermont, Washington, D.C., and Wisconsin.</w:t>
      </w:r>
      <w:r w:rsidR="238B9797" w:rsidRPr="59123555">
        <w:rPr>
          <w:rFonts w:ascii="Open Sans" w:eastAsia="Open Sans" w:hAnsi="Open Sans" w:cs="Open Sans"/>
        </w:rPr>
        <w:t xml:space="preserve"> But what does a </w:t>
      </w:r>
      <w:r w:rsidR="748A7A30" w:rsidRPr="59123555">
        <w:rPr>
          <w:rFonts w:ascii="Open Sans" w:eastAsia="Open Sans" w:hAnsi="Open Sans" w:cs="Open Sans"/>
        </w:rPr>
        <w:t>fully refundable</w:t>
      </w:r>
      <w:r w:rsidR="238B9797" w:rsidRPr="59123555">
        <w:rPr>
          <w:rFonts w:ascii="Open Sans" w:eastAsia="Open Sans" w:hAnsi="Open Sans" w:cs="Open Sans"/>
        </w:rPr>
        <w:t xml:space="preserve"> tax credit mean?</w:t>
      </w:r>
    </w:p>
    <w:p w14:paraId="5DCFB09C" w14:textId="77777777" w:rsidR="0021491E" w:rsidRPr="004B0D08" w:rsidRDefault="238B9797" w:rsidP="59123555">
      <w:pPr>
        <w:spacing w:after="0" w:line="276" w:lineRule="auto"/>
        <w:rPr>
          <w:rFonts w:ascii="Open Sans" w:eastAsia="Open Sans" w:hAnsi="Open Sans" w:cs="Open Sans"/>
          <w:b/>
          <w:bCs/>
          <w:color w:val="D50032"/>
        </w:rPr>
      </w:pPr>
      <w:r w:rsidRPr="59123555">
        <w:rPr>
          <w:rFonts w:ascii="Open Sans" w:eastAsia="Open Sans" w:hAnsi="Open Sans" w:cs="Open Sans"/>
          <w:b/>
          <w:bCs/>
          <w:color w:val="D50032"/>
        </w:rPr>
        <w:t>Refundable v. Non-Refundable</w:t>
      </w:r>
    </w:p>
    <w:p w14:paraId="45F4BBF2" w14:textId="0613851E" w:rsidR="009F6142" w:rsidRDefault="238B9797" w:rsidP="004B0D08">
      <w:pPr>
        <w:spacing w:line="276" w:lineRule="auto"/>
        <w:rPr>
          <w:rFonts w:ascii="Open Sans" w:eastAsia="Open Sans" w:hAnsi="Open Sans" w:cs="Open Sans"/>
        </w:rPr>
      </w:pPr>
      <w:r w:rsidRPr="59123555">
        <w:rPr>
          <w:rFonts w:ascii="Open Sans" w:eastAsia="Open Sans" w:hAnsi="Open Sans" w:cs="Open Sans"/>
        </w:rPr>
        <w:t>A refundable</w:t>
      </w:r>
      <w:r w:rsidRPr="59123555">
        <w:rPr>
          <w:rFonts w:ascii="Open Sans" w:eastAsia="Open Sans" w:hAnsi="Open Sans" w:cs="Open Sans"/>
          <w:b/>
          <w:bCs/>
        </w:rPr>
        <w:t xml:space="preserve"> </w:t>
      </w:r>
      <w:r w:rsidRPr="59123555">
        <w:rPr>
          <w:rFonts w:ascii="Open Sans" w:eastAsia="Open Sans" w:hAnsi="Open Sans" w:cs="Open Sans"/>
        </w:rPr>
        <w:t>tax credit</w:t>
      </w:r>
      <w:r w:rsidR="6CBAF1D7" w:rsidRPr="59123555">
        <w:rPr>
          <w:rFonts w:ascii="Open Sans" w:eastAsia="Open Sans" w:hAnsi="Open Sans" w:cs="Open Sans"/>
        </w:rPr>
        <w:t xml:space="preserve"> simply works like this</w:t>
      </w:r>
      <w:r w:rsidR="2929459D" w:rsidRPr="59123555">
        <w:rPr>
          <w:rFonts w:ascii="Open Sans" w:eastAsia="Open Sans" w:hAnsi="Open Sans" w:cs="Open Sans"/>
        </w:rPr>
        <w:t xml:space="preserve"> – i</w:t>
      </w:r>
      <w:r w:rsidRPr="59123555">
        <w:rPr>
          <w:rFonts w:ascii="Open Sans" w:eastAsia="Open Sans" w:hAnsi="Open Sans" w:cs="Open Sans"/>
        </w:rPr>
        <w:t xml:space="preserve">f your tax credit is larger than the amount of taxes you owe, you receive a refund for the difference. For example, if you owe $300 in taxes and receive a $500 refundable tax credit, you </w:t>
      </w:r>
      <w:proofErr w:type="gramStart"/>
      <w:r w:rsidRPr="59123555">
        <w:rPr>
          <w:rFonts w:ascii="Open Sans" w:eastAsia="Open Sans" w:hAnsi="Open Sans" w:cs="Open Sans"/>
        </w:rPr>
        <w:t>would</w:t>
      </w:r>
      <w:proofErr w:type="gramEnd"/>
      <w:r w:rsidRPr="59123555">
        <w:rPr>
          <w:rFonts w:ascii="Open Sans" w:eastAsia="Open Sans" w:hAnsi="Open Sans" w:cs="Open Sans"/>
        </w:rPr>
        <w:t xml:space="preserve"> receive the remaining $200</w:t>
      </w:r>
      <w:r w:rsidR="410C13C9" w:rsidRPr="59123555">
        <w:rPr>
          <w:rFonts w:ascii="Open Sans" w:eastAsia="Open Sans" w:hAnsi="Open Sans" w:cs="Open Sans"/>
        </w:rPr>
        <w:t xml:space="preserve"> as a tax refund</w:t>
      </w:r>
      <w:r w:rsidRPr="59123555">
        <w:rPr>
          <w:rFonts w:ascii="Open Sans" w:eastAsia="Open Sans" w:hAnsi="Open Sans" w:cs="Open Sans"/>
        </w:rPr>
        <w:t xml:space="preserve">. This is a great way to get money into people's hands, and it gives them the flexibility </w:t>
      </w:r>
      <w:r w:rsidR="23440C24" w:rsidRPr="59123555">
        <w:rPr>
          <w:rFonts w:ascii="Open Sans" w:eastAsia="Open Sans" w:hAnsi="Open Sans" w:cs="Open Sans"/>
        </w:rPr>
        <w:t xml:space="preserve">and freedom </w:t>
      </w:r>
      <w:r w:rsidRPr="59123555">
        <w:rPr>
          <w:rFonts w:ascii="Open Sans" w:eastAsia="Open Sans" w:hAnsi="Open Sans" w:cs="Open Sans"/>
        </w:rPr>
        <w:t xml:space="preserve">to make </w:t>
      </w:r>
      <w:r w:rsidR="4ADB331C" w:rsidRPr="59123555">
        <w:rPr>
          <w:rFonts w:ascii="Open Sans" w:eastAsia="Open Sans" w:hAnsi="Open Sans" w:cs="Open Sans"/>
        </w:rPr>
        <w:t xml:space="preserve">family financial </w:t>
      </w:r>
      <w:r w:rsidRPr="59123555">
        <w:rPr>
          <w:rFonts w:ascii="Open Sans" w:eastAsia="Open Sans" w:hAnsi="Open Sans" w:cs="Open Sans"/>
        </w:rPr>
        <w:t xml:space="preserve">decisions. </w:t>
      </w:r>
      <w:r w:rsidR="5F5E62AE" w:rsidRPr="59123555">
        <w:rPr>
          <w:rFonts w:ascii="Open Sans" w:eastAsia="Open Sans" w:hAnsi="Open Sans" w:cs="Open Sans"/>
        </w:rPr>
        <w:t xml:space="preserve">This is how the EITC </w:t>
      </w:r>
      <w:r w:rsidR="4ADB331C" w:rsidRPr="59123555">
        <w:rPr>
          <w:rFonts w:ascii="Open Sans" w:eastAsia="Open Sans" w:hAnsi="Open Sans" w:cs="Open Sans"/>
        </w:rPr>
        <w:t>works</w:t>
      </w:r>
      <w:r w:rsidR="2727EDD5" w:rsidRPr="59123555">
        <w:rPr>
          <w:rFonts w:ascii="Open Sans" w:eastAsia="Open Sans" w:hAnsi="Open Sans" w:cs="Open Sans"/>
        </w:rPr>
        <w:t xml:space="preserve">, as well as the </w:t>
      </w:r>
      <w:r w:rsidR="5F5E62AE" w:rsidRPr="59123555">
        <w:rPr>
          <w:rFonts w:ascii="Open Sans" w:eastAsia="Open Sans" w:hAnsi="Open Sans" w:cs="Open Sans"/>
        </w:rPr>
        <w:t xml:space="preserve">2021 expanded CTC. </w:t>
      </w:r>
    </w:p>
    <w:p w14:paraId="03B7306F" w14:textId="41449301" w:rsidR="0021491E" w:rsidRDefault="238B9797" w:rsidP="59123555">
      <w:pPr>
        <w:spacing w:line="276" w:lineRule="auto"/>
        <w:rPr>
          <w:rFonts w:ascii="Open Sans" w:eastAsia="Open Sans" w:hAnsi="Open Sans" w:cs="Open Sans"/>
        </w:rPr>
      </w:pPr>
      <w:r w:rsidRPr="0BA05A84">
        <w:rPr>
          <w:rFonts w:ascii="Open Sans" w:eastAsia="Open Sans" w:hAnsi="Open Sans" w:cs="Open Sans"/>
        </w:rPr>
        <w:t>However, if the credit was not refundable,</w:t>
      </w:r>
      <w:r w:rsidR="7B73232E" w:rsidRPr="0BA05A84">
        <w:rPr>
          <w:rFonts w:ascii="Open Sans" w:eastAsia="Open Sans" w:hAnsi="Open Sans" w:cs="Open Sans"/>
        </w:rPr>
        <w:t xml:space="preserve"> </w:t>
      </w:r>
      <w:r w:rsidR="5855533E" w:rsidRPr="0BA05A84">
        <w:rPr>
          <w:rFonts w:ascii="Open Sans" w:eastAsia="Open Sans" w:hAnsi="Open Sans" w:cs="Open Sans"/>
        </w:rPr>
        <w:t>the</w:t>
      </w:r>
      <w:r w:rsidRPr="0BA05A84">
        <w:rPr>
          <w:rFonts w:ascii="Open Sans" w:eastAsia="Open Sans" w:hAnsi="Open Sans" w:cs="Open Sans"/>
        </w:rPr>
        <w:t xml:space="preserve"> remaining $200</w:t>
      </w:r>
      <w:r w:rsidR="5855533E" w:rsidRPr="0BA05A84">
        <w:rPr>
          <w:rFonts w:ascii="Open Sans" w:eastAsia="Open Sans" w:hAnsi="Open Sans" w:cs="Open Sans"/>
        </w:rPr>
        <w:t xml:space="preserve"> of your credit</w:t>
      </w:r>
      <w:r w:rsidRPr="0BA05A84">
        <w:rPr>
          <w:rFonts w:ascii="Open Sans" w:eastAsia="Open Sans" w:hAnsi="Open Sans" w:cs="Open Sans"/>
        </w:rPr>
        <w:t xml:space="preserve"> would disappear. </w:t>
      </w:r>
      <w:r w:rsidR="7F1AC9C4" w:rsidRPr="0BA05A84">
        <w:rPr>
          <w:rFonts w:ascii="Open Sans" w:eastAsia="Open Sans" w:hAnsi="Open Sans" w:cs="Open Sans"/>
        </w:rPr>
        <w:t>N</w:t>
      </w:r>
      <w:r w:rsidRPr="0BA05A84">
        <w:rPr>
          <w:rFonts w:ascii="Open Sans" w:eastAsia="Open Sans" w:hAnsi="Open Sans" w:cs="Open Sans"/>
        </w:rPr>
        <w:t>on-refundable tax credits</w:t>
      </w:r>
      <w:r w:rsidR="6B130B5D" w:rsidRPr="0BA05A84">
        <w:rPr>
          <w:rFonts w:ascii="Open Sans" w:eastAsia="Open Sans" w:hAnsi="Open Sans" w:cs="Open Sans"/>
        </w:rPr>
        <w:t xml:space="preserve">, which most are, </w:t>
      </w:r>
      <w:r w:rsidRPr="0BA05A84">
        <w:rPr>
          <w:rFonts w:ascii="Open Sans" w:eastAsia="Open Sans" w:hAnsi="Open Sans" w:cs="Open Sans"/>
        </w:rPr>
        <w:t>typically only benefit people with higher incomes.</w:t>
      </w:r>
    </w:p>
    <w:p w14:paraId="555A50FA" w14:textId="66644814" w:rsidR="008C4D7E" w:rsidRPr="004B0D08" w:rsidRDefault="3BBC525F" w:rsidP="008C4D7E">
      <w:pPr>
        <w:rPr>
          <w:rFonts w:ascii="Open Sans" w:eastAsia="Open Sans" w:hAnsi="Open Sans" w:cs="Open Sans"/>
          <w:b/>
          <w:bCs/>
          <w:color w:val="D50032"/>
        </w:rPr>
      </w:pPr>
      <w:r w:rsidRPr="59123555">
        <w:rPr>
          <w:rFonts w:ascii="Open Sans" w:eastAsia="Open Sans" w:hAnsi="Open Sans" w:cs="Open Sans"/>
          <w:b/>
          <w:bCs/>
          <w:color w:val="D50032"/>
        </w:rPr>
        <w:t>Credit v. Deduction</w:t>
      </w:r>
    </w:p>
    <w:p w14:paraId="04E16B9A" w14:textId="2779AC17" w:rsidR="008C4D7E" w:rsidRDefault="3BBC525F" w:rsidP="59123555">
      <w:pPr>
        <w:spacing w:line="276" w:lineRule="auto"/>
        <w:rPr>
          <w:rFonts w:ascii="Open Sans" w:eastAsia="Open Sans" w:hAnsi="Open Sans" w:cs="Open Sans"/>
        </w:rPr>
      </w:pPr>
      <w:r w:rsidRPr="0BA05A84">
        <w:rPr>
          <w:rFonts w:ascii="Open Sans" w:eastAsia="Open Sans" w:hAnsi="Open Sans" w:cs="Open Sans"/>
        </w:rPr>
        <w:t>A</w:t>
      </w:r>
      <w:r w:rsidR="1BE17485" w:rsidRPr="0BA05A84">
        <w:rPr>
          <w:rFonts w:ascii="Open Sans" w:eastAsia="Open Sans" w:hAnsi="Open Sans" w:cs="Open Sans"/>
        </w:rPr>
        <w:t>s noted above, a</w:t>
      </w:r>
      <w:r w:rsidRPr="0BA05A84">
        <w:rPr>
          <w:rFonts w:ascii="Open Sans" w:eastAsia="Open Sans" w:hAnsi="Open Sans" w:cs="Open Sans"/>
        </w:rPr>
        <w:t xml:space="preserve"> credit is a reduction in the amount of taxes you owe. A deduction, on the other hand, is a reduction in the amount of</w:t>
      </w:r>
      <w:r w:rsidR="6E3C353F" w:rsidRPr="0BA05A84">
        <w:rPr>
          <w:rFonts w:ascii="Open Sans" w:eastAsia="Open Sans" w:hAnsi="Open Sans" w:cs="Open Sans"/>
        </w:rPr>
        <w:t xml:space="preserve"> your</w:t>
      </w:r>
      <w:r w:rsidRPr="0BA05A84">
        <w:rPr>
          <w:rFonts w:ascii="Open Sans" w:eastAsia="Open Sans" w:hAnsi="Open Sans" w:cs="Open Sans"/>
        </w:rPr>
        <w:t xml:space="preserve"> </w:t>
      </w:r>
      <w:r w:rsidR="6E3C353F" w:rsidRPr="0BA05A84">
        <w:rPr>
          <w:rFonts w:ascii="Open Sans" w:eastAsia="Open Sans" w:hAnsi="Open Sans" w:cs="Open Sans"/>
        </w:rPr>
        <w:t xml:space="preserve">taxable </w:t>
      </w:r>
      <w:r w:rsidRPr="0BA05A84">
        <w:rPr>
          <w:rFonts w:ascii="Open Sans" w:eastAsia="Open Sans" w:hAnsi="Open Sans" w:cs="Open Sans"/>
        </w:rPr>
        <w:t xml:space="preserve">income. For example, if you make $1,000 of taxable income and receive a $600 tax deduction, you </w:t>
      </w:r>
      <w:proofErr w:type="gramStart"/>
      <w:r w:rsidRPr="0BA05A84">
        <w:rPr>
          <w:rFonts w:ascii="Open Sans" w:eastAsia="Open Sans" w:hAnsi="Open Sans" w:cs="Open Sans"/>
        </w:rPr>
        <w:t>would</w:t>
      </w:r>
      <w:proofErr w:type="gramEnd"/>
      <w:r w:rsidRPr="0BA05A84">
        <w:rPr>
          <w:rFonts w:ascii="Open Sans" w:eastAsia="Open Sans" w:hAnsi="Open Sans" w:cs="Open Sans"/>
        </w:rPr>
        <w:t xml:space="preserve"> only have $400 of </w:t>
      </w:r>
      <w:r w:rsidRPr="0BA05A84">
        <w:rPr>
          <w:rFonts w:ascii="Open Sans" w:eastAsia="Open Sans" w:hAnsi="Open Sans" w:cs="Open Sans"/>
        </w:rPr>
        <w:lastRenderedPageBreak/>
        <w:t xml:space="preserve">taxable income. </w:t>
      </w:r>
      <w:r w:rsidR="2F0E0148" w:rsidRPr="0BA05A84">
        <w:rPr>
          <w:rFonts w:ascii="Open Sans" w:eastAsia="Open Sans" w:hAnsi="Open Sans" w:cs="Open Sans"/>
        </w:rPr>
        <w:t>Lower taxable income means lower taxes owed. Like a non-refundable tax credit, d</w:t>
      </w:r>
      <w:r w:rsidRPr="0BA05A84">
        <w:rPr>
          <w:rFonts w:ascii="Open Sans" w:eastAsia="Open Sans" w:hAnsi="Open Sans" w:cs="Open Sans"/>
        </w:rPr>
        <w:t>eductions typically benefit people with higher incomes</w:t>
      </w:r>
      <w:r w:rsidR="21F9E3A1" w:rsidRPr="0BA05A84">
        <w:rPr>
          <w:rFonts w:ascii="Open Sans" w:eastAsia="Open Sans" w:hAnsi="Open Sans" w:cs="Open Sans"/>
        </w:rPr>
        <w:t>. Because of the progressive nature of our</w:t>
      </w:r>
      <w:r w:rsidR="5F37D33E" w:rsidRPr="0BA05A84">
        <w:rPr>
          <w:rFonts w:ascii="Open Sans" w:eastAsia="Open Sans" w:hAnsi="Open Sans" w:cs="Open Sans"/>
        </w:rPr>
        <w:t xml:space="preserve"> tax code, lower</w:t>
      </w:r>
      <w:r w:rsidR="7A528CD4" w:rsidRPr="0BA05A84">
        <w:rPr>
          <w:rFonts w:ascii="Open Sans" w:eastAsia="Open Sans" w:hAnsi="Open Sans" w:cs="Open Sans"/>
        </w:rPr>
        <w:t xml:space="preserve">-income Americans </w:t>
      </w:r>
      <w:r w:rsidR="7CCF6D3E" w:rsidRPr="0BA05A84">
        <w:rPr>
          <w:rFonts w:ascii="Open Sans" w:eastAsia="Open Sans" w:hAnsi="Open Sans" w:cs="Open Sans"/>
        </w:rPr>
        <w:t>already have</w:t>
      </w:r>
      <w:r w:rsidR="770549F6" w:rsidRPr="0BA05A84">
        <w:rPr>
          <w:rFonts w:ascii="Open Sans" w:eastAsia="Open Sans" w:hAnsi="Open Sans" w:cs="Open Sans"/>
        </w:rPr>
        <w:t xml:space="preserve"> little or no </w:t>
      </w:r>
      <w:r w:rsidR="3F106401" w:rsidRPr="0BA05A84">
        <w:rPr>
          <w:rFonts w:ascii="Open Sans" w:eastAsia="Open Sans" w:hAnsi="Open Sans" w:cs="Open Sans"/>
        </w:rPr>
        <w:t>taxable income</w:t>
      </w:r>
      <w:r w:rsidR="6F2A0486" w:rsidRPr="0BA05A84">
        <w:rPr>
          <w:rFonts w:ascii="Open Sans" w:eastAsia="Open Sans" w:hAnsi="Open Sans" w:cs="Open Sans"/>
        </w:rPr>
        <w:t xml:space="preserve">, thus a tax deduction has minimal or no impact on </w:t>
      </w:r>
      <w:r w:rsidR="5A0DF33C" w:rsidRPr="0BA05A84">
        <w:rPr>
          <w:rFonts w:ascii="Open Sans" w:eastAsia="Open Sans" w:hAnsi="Open Sans" w:cs="Open Sans"/>
        </w:rPr>
        <w:t>their tax liab</w:t>
      </w:r>
      <w:r w:rsidR="1AEF0330" w:rsidRPr="0BA05A84">
        <w:rPr>
          <w:rFonts w:ascii="Open Sans" w:eastAsia="Open Sans" w:hAnsi="Open Sans" w:cs="Open Sans"/>
        </w:rPr>
        <w:t>i</w:t>
      </w:r>
      <w:r w:rsidR="5A0DF33C" w:rsidRPr="0BA05A84">
        <w:rPr>
          <w:rFonts w:ascii="Open Sans" w:eastAsia="Open Sans" w:hAnsi="Open Sans" w:cs="Open Sans"/>
        </w:rPr>
        <w:t>lity</w:t>
      </w:r>
      <w:r w:rsidR="6F2A0486" w:rsidRPr="0BA05A84">
        <w:rPr>
          <w:rFonts w:ascii="Open Sans" w:eastAsia="Open Sans" w:hAnsi="Open Sans" w:cs="Open Sans"/>
        </w:rPr>
        <w:t xml:space="preserve">. </w:t>
      </w:r>
      <w:r w:rsidR="1AEF0330" w:rsidRPr="0BA05A84">
        <w:rPr>
          <w:rFonts w:ascii="Open Sans" w:eastAsia="Open Sans" w:hAnsi="Open Sans" w:cs="Open Sans"/>
        </w:rPr>
        <w:t xml:space="preserve">The most common </w:t>
      </w:r>
      <w:r w:rsidR="781CAA78" w:rsidRPr="0BA05A84">
        <w:rPr>
          <w:rFonts w:ascii="Open Sans" w:eastAsia="Open Sans" w:hAnsi="Open Sans" w:cs="Open Sans"/>
        </w:rPr>
        <w:t xml:space="preserve">federal tax deduction is the standard deduction, used by </w:t>
      </w:r>
      <w:r w:rsidRPr="0BA05A84">
        <w:rPr>
          <w:rFonts w:ascii="Open Sans" w:eastAsia="Open Sans" w:hAnsi="Open Sans" w:cs="Open Sans"/>
        </w:rPr>
        <w:t xml:space="preserve">about 90 percent of tax filers. </w:t>
      </w:r>
    </w:p>
    <w:p w14:paraId="1F6BA75E" w14:textId="080F8584" w:rsidR="005C202A" w:rsidRPr="004B0D08" w:rsidRDefault="43EB97C2" w:rsidP="59123555">
      <w:pPr>
        <w:pStyle w:val="Heading1"/>
        <w:spacing w:line="276" w:lineRule="auto"/>
        <w:rPr>
          <w:rFonts w:ascii="Open Sans" w:eastAsia="Open Sans" w:hAnsi="Open Sans" w:cs="Open Sans"/>
          <w:b/>
          <w:bCs/>
          <w:i/>
          <w:iCs/>
          <w:color w:val="D50032"/>
          <w:sz w:val="28"/>
          <w:szCs w:val="28"/>
        </w:rPr>
      </w:pPr>
      <w:r w:rsidRPr="59123555">
        <w:rPr>
          <w:rFonts w:ascii="Open Sans" w:eastAsia="Open Sans" w:hAnsi="Open Sans" w:cs="Open Sans"/>
          <w:b/>
          <w:bCs/>
          <w:color w:val="D50032"/>
          <w:sz w:val="28"/>
          <w:szCs w:val="28"/>
        </w:rPr>
        <w:t>Why do we need a Renter’s Tax Credit?</w:t>
      </w:r>
    </w:p>
    <w:p w14:paraId="36BB0D63" w14:textId="70DD6F73" w:rsidR="00DD36D8" w:rsidRDefault="5B55BBE8" w:rsidP="59123555">
      <w:pPr>
        <w:spacing w:line="276" w:lineRule="auto"/>
        <w:rPr>
          <w:rFonts w:ascii="Open Sans" w:eastAsia="Open Sans" w:hAnsi="Open Sans" w:cs="Open Sans"/>
        </w:rPr>
      </w:pPr>
      <w:r w:rsidRPr="59123555">
        <w:rPr>
          <w:rFonts w:ascii="Open Sans" w:eastAsia="Open Sans" w:hAnsi="Open Sans" w:cs="Open Sans"/>
        </w:rPr>
        <w:t xml:space="preserve">The tax code reflects the priorities of the country. Policymakers use the tax code to collect revenue for the country and benefit various groups. Unfortunately, the tax code currently works to benefit wealthier individuals and corporations, often at the expense of those with lower incomes or without large amounts of wealth. At RESULTS, we recognize that a </w:t>
      </w:r>
      <w:r w:rsidR="2B8D8B4A" w:rsidRPr="59123555">
        <w:rPr>
          <w:rFonts w:ascii="Open Sans" w:eastAsia="Open Sans" w:hAnsi="Open Sans" w:cs="Open Sans"/>
        </w:rPr>
        <w:t xml:space="preserve">more </w:t>
      </w:r>
      <w:r w:rsidRPr="59123555">
        <w:rPr>
          <w:rFonts w:ascii="Open Sans" w:eastAsia="Open Sans" w:hAnsi="Open Sans" w:cs="Open Sans"/>
        </w:rPr>
        <w:t>progressive tax code can help shrink wealth and income disparities</w:t>
      </w:r>
      <w:r w:rsidR="5026AFBF" w:rsidRPr="59123555">
        <w:rPr>
          <w:rFonts w:ascii="Open Sans" w:eastAsia="Open Sans" w:hAnsi="Open Sans" w:cs="Open Sans"/>
        </w:rPr>
        <w:t>,</w:t>
      </w:r>
      <w:r w:rsidRPr="59123555">
        <w:rPr>
          <w:rFonts w:ascii="Open Sans" w:eastAsia="Open Sans" w:hAnsi="Open Sans" w:cs="Open Sans"/>
        </w:rPr>
        <w:t xml:space="preserve"> </w:t>
      </w:r>
      <w:r w:rsidR="305C95AF" w:rsidRPr="59123555">
        <w:rPr>
          <w:rFonts w:ascii="Open Sans" w:eastAsia="Open Sans" w:hAnsi="Open Sans" w:cs="Open Sans"/>
        </w:rPr>
        <w:t xml:space="preserve">reduce </w:t>
      </w:r>
      <w:r w:rsidRPr="59123555">
        <w:rPr>
          <w:rFonts w:ascii="Open Sans" w:eastAsia="Open Sans" w:hAnsi="Open Sans" w:cs="Open Sans"/>
        </w:rPr>
        <w:t>poverty</w:t>
      </w:r>
      <w:r w:rsidR="305C95AF" w:rsidRPr="59123555">
        <w:rPr>
          <w:rFonts w:ascii="Open Sans" w:eastAsia="Open Sans" w:hAnsi="Open Sans" w:cs="Open Sans"/>
        </w:rPr>
        <w:t>,</w:t>
      </w:r>
      <w:r w:rsidRPr="59123555">
        <w:rPr>
          <w:rFonts w:ascii="Open Sans" w:eastAsia="Open Sans" w:hAnsi="Open Sans" w:cs="Open Sans"/>
        </w:rPr>
        <w:t xml:space="preserve"> and </w:t>
      </w:r>
      <w:r w:rsidR="305C95AF" w:rsidRPr="59123555">
        <w:rPr>
          <w:rFonts w:ascii="Open Sans" w:eastAsia="Open Sans" w:hAnsi="Open Sans" w:cs="Open Sans"/>
        </w:rPr>
        <w:t xml:space="preserve">expand </w:t>
      </w:r>
      <w:r w:rsidRPr="59123555">
        <w:rPr>
          <w:rFonts w:ascii="Open Sans" w:eastAsia="Open Sans" w:hAnsi="Open Sans" w:cs="Open Sans"/>
        </w:rPr>
        <w:t>opportunit</w:t>
      </w:r>
      <w:r w:rsidR="305C95AF" w:rsidRPr="59123555">
        <w:rPr>
          <w:rFonts w:ascii="Open Sans" w:eastAsia="Open Sans" w:hAnsi="Open Sans" w:cs="Open Sans"/>
        </w:rPr>
        <w:t>y</w:t>
      </w:r>
      <w:r w:rsidRPr="59123555">
        <w:rPr>
          <w:rFonts w:ascii="Open Sans" w:eastAsia="Open Sans" w:hAnsi="Open Sans" w:cs="Open Sans"/>
        </w:rPr>
        <w:t xml:space="preserve">. </w:t>
      </w:r>
    </w:p>
    <w:p w14:paraId="40FD4EF4" w14:textId="140A0798" w:rsidR="00DD36D8" w:rsidRDefault="5B55BBE8" w:rsidP="004B0D08">
      <w:pPr>
        <w:spacing w:line="276" w:lineRule="auto"/>
        <w:rPr>
          <w:rFonts w:ascii="Open Sans" w:eastAsia="Open Sans" w:hAnsi="Open Sans" w:cs="Open Sans"/>
        </w:rPr>
      </w:pPr>
      <w:r w:rsidRPr="3CCE253A">
        <w:rPr>
          <w:rFonts w:ascii="Open Sans" w:eastAsia="Open Sans" w:hAnsi="Open Sans" w:cs="Open Sans"/>
        </w:rPr>
        <w:t xml:space="preserve">As we saw with the </w:t>
      </w:r>
      <w:r w:rsidR="16534989">
        <w:rPr>
          <w:rFonts w:ascii="Open Sans" w:eastAsia="Open Sans" w:hAnsi="Open Sans" w:cs="Open Sans"/>
        </w:rPr>
        <w:t>2021 expansions of</w:t>
      </w:r>
      <w:r w:rsidR="16534989" w:rsidRPr="3CCE253A">
        <w:rPr>
          <w:rFonts w:ascii="Open Sans" w:eastAsia="Open Sans" w:hAnsi="Open Sans" w:cs="Open Sans"/>
        </w:rPr>
        <w:t xml:space="preserve"> </w:t>
      </w:r>
      <w:r w:rsidR="16534989">
        <w:rPr>
          <w:rFonts w:ascii="Open Sans" w:eastAsia="Open Sans" w:hAnsi="Open Sans" w:cs="Open Sans"/>
        </w:rPr>
        <w:t xml:space="preserve">the </w:t>
      </w:r>
      <w:r w:rsidRPr="3CCE253A">
        <w:rPr>
          <w:rFonts w:ascii="Open Sans" w:eastAsia="Open Sans" w:hAnsi="Open Sans" w:cs="Open Sans"/>
        </w:rPr>
        <w:t xml:space="preserve">Child Tax Credit (CTC) and Earned Income Tax Credit (EITC), </w:t>
      </w:r>
      <w:r w:rsidR="748A7A30" w:rsidRPr="3CCE253A">
        <w:rPr>
          <w:rFonts w:ascii="Open Sans" w:eastAsia="Open Sans" w:hAnsi="Open Sans" w:cs="Open Sans"/>
        </w:rPr>
        <w:t>fully refundable</w:t>
      </w:r>
      <w:r w:rsidRPr="3CCE253A">
        <w:rPr>
          <w:rFonts w:ascii="Open Sans" w:eastAsia="Open Sans" w:hAnsi="Open Sans" w:cs="Open Sans"/>
        </w:rPr>
        <w:t xml:space="preserve"> tax credits are powerful tools in addressing poverty. These credits helped offset the cost of raising kids </w:t>
      </w:r>
      <w:r w:rsidR="16534989">
        <w:rPr>
          <w:rFonts w:ascii="Open Sans" w:eastAsia="Open Sans" w:hAnsi="Open Sans" w:cs="Open Sans"/>
        </w:rPr>
        <w:t xml:space="preserve">(CTC) </w:t>
      </w:r>
      <w:r w:rsidRPr="3CCE253A">
        <w:rPr>
          <w:rFonts w:ascii="Open Sans" w:eastAsia="Open Sans" w:hAnsi="Open Sans" w:cs="Open Sans"/>
        </w:rPr>
        <w:t xml:space="preserve">and provided a boost for workers’ incomes </w:t>
      </w:r>
      <w:r w:rsidR="16534989">
        <w:rPr>
          <w:rFonts w:ascii="Open Sans" w:eastAsia="Open Sans" w:hAnsi="Open Sans" w:cs="Open Sans"/>
        </w:rPr>
        <w:t>(EITC)</w:t>
      </w:r>
      <w:r w:rsidR="1E80E675">
        <w:rPr>
          <w:rFonts w:ascii="Open Sans" w:eastAsia="Open Sans" w:hAnsi="Open Sans" w:cs="Open Sans"/>
        </w:rPr>
        <w:t xml:space="preserve">. </w:t>
      </w:r>
      <w:r w:rsidRPr="3CCE253A">
        <w:rPr>
          <w:rFonts w:ascii="Open Sans" w:eastAsia="Open Sans" w:hAnsi="Open Sans" w:cs="Open Sans"/>
        </w:rPr>
        <w:t xml:space="preserve">The CTC alone reached over 61 million children in December of 2021, cutting child poverty by almost 30 percent. Families used this extra income to pay for food, healthcare, childcare, and other necessary expenses. They also used it to replenish or grow their savings for long-term stability. The CTC not only decreased child poverty in the short term, but it also </w:t>
      </w:r>
      <w:r w:rsidRPr="00F86F82">
        <w:rPr>
          <w:rFonts w:ascii="Open Sans" w:eastAsia="Open Sans" w:hAnsi="Open Sans" w:cs="Open Sans"/>
        </w:rPr>
        <w:t>increased family social mobility in the long term</w:t>
      </w:r>
      <w:r w:rsidRPr="3CCE253A">
        <w:rPr>
          <w:rFonts w:ascii="Open Sans" w:eastAsia="Open Sans" w:hAnsi="Open Sans" w:cs="Open Sans"/>
        </w:rPr>
        <w:t>.</w:t>
      </w:r>
      <w:r w:rsidR="004B62C4">
        <w:rPr>
          <w:rStyle w:val="EndnoteReference"/>
          <w:rFonts w:ascii="Open Sans" w:eastAsia="Open Sans" w:hAnsi="Open Sans" w:cs="Open Sans"/>
        </w:rPr>
        <w:endnoteReference w:id="35"/>
      </w:r>
      <w:r w:rsidR="30F3887B">
        <w:rPr>
          <w:rFonts w:ascii="Open Sans" w:eastAsia="Open Sans" w:hAnsi="Open Sans" w:cs="Open Sans"/>
        </w:rPr>
        <w:t xml:space="preserve"> Sadly, </w:t>
      </w:r>
      <w:r w:rsidR="30F3887B" w:rsidRPr="3CCE253A">
        <w:rPr>
          <w:rFonts w:ascii="Open Sans" w:eastAsia="Open Sans" w:hAnsi="Open Sans" w:cs="Open Sans"/>
        </w:rPr>
        <w:t xml:space="preserve">Congress </w:t>
      </w:r>
      <w:r w:rsidR="30F3887B">
        <w:rPr>
          <w:rFonts w:ascii="Open Sans" w:eastAsia="Open Sans" w:hAnsi="Open Sans" w:cs="Open Sans"/>
        </w:rPr>
        <w:t xml:space="preserve">let </w:t>
      </w:r>
      <w:proofErr w:type="gramStart"/>
      <w:r w:rsidR="30F3887B">
        <w:rPr>
          <w:rFonts w:ascii="Open Sans" w:eastAsia="Open Sans" w:hAnsi="Open Sans" w:cs="Open Sans"/>
        </w:rPr>
        <w:t>both of these</w:t>
      </w:r>
      <w:proofErr w:type="gramEnd"/>
      <w:r w:rsidR="30F3887B">
        <w:rPr>
          <w:rFonts w:ascii="Open Sans" w:eastAsia="Open Sans" w:hAnsi="Open Sans" w:cs="Open Sans"/>
        </w:rPr>
        <w:t xml:space="preserve"> expansions expire at the end of 2021.</w:t>
      </w:r>
    </w:p>
    <w:p w14:paraId="2237054C" w14:textId="2B09912D" w:rsidR="00CA396A" w:rsidRPr="0059024B" w:rsidRDefault="5D532E65" w:rsidP="0BA05A84">
      <w:pPr>
        <w:spacing w:line="276" w:lineRule="auto"/>
        <w:rPr>
          <w:rFonts w:ascii="Open Sans" w:eastAsia="Open Sans" w:hAnsi="Open Sans" w:cs="Open Sans"/>
          <w:i/>
          <w:iCs/>
        </w:rPr>
      </w:pPr>
      <w:r w:rsidRPr="0BA05A84">
        <w:rPr>
          <w:rFonts w:ascii="Open Sans" w:eastAsia="Open Sans" w:hAnsi="Open Sans" w:cs="Open Sans"/>
          <w:i/>
          <w:iCs/>
        </w:rPr>
        <w:t>Note that the expanded EITC was not</w:t>
      </w:r>
      <w:r w:rsidR="7CD77735" w:rsidRPr="0BA05A84">
        <w:rPr>
          <w:rFonts w:ascii="Open Sans" w:eastAsia="Open Sans" w:hAnsi="Open Sans" w:cs="Open Sans"/>
          <w:i/>
          <w:iCs/>
        </w:rPr>
        <w:t xml:space="preserve"> a monthly payment. It was received as a tax refund when work</w:t>
      </w:r>
      <w:r w:rsidR="00E416E9" w:rsidRPr="0BA05A84">
        <w:rPr>
          <w:rFonts w:ascii="Open Sans" w:eastAsia="Open Sans" w:hAnsi="Open Sans" w:cs="Open Sans"/>
          <w:i/>
          <w:iCs/>
        </w:rPr>
        <w:t>ers filed their 2021 federal tax returns</w:t>
      </w:r>
      <w:r w:rsidR="3A553F65" w:rsidRPr="0BA05A84">
        <w:rPr>
          <w:rFonts w:ascii="Open Sans" w:eastAsia="Open Sans" w:hAnsi="Open Sans" w:cs="Open Sans"/>
          <w:i/>
          <w:iCs/>
        </w:rPr>
        <w:t xml:space="preserve"> in </w:t>
      </w:r>
      <w:r w:rsidR="7CD77735" w:rsidRPr="0BA05A84">
        <w:rPr>
          <w:rFonts w:ascii="Open Sans" w:eastAsia="Open Sans" w:hAnsi="Open Sans" w:cs="Open Sans"/>
          <w:i/>
          <w:iCs/>
        </w:rPr>
        <w:t xml:space="preserve">early </w:t>
      </w:r>
      <w:r w:rsidR="3A553F65" w:rsidRPr="0BA05A84">
        <w:rPr>
          <w:rFonts w:ascii="Open Sans" w:eastAsia="Open Sans" w:hAnsi="Open Sans" w:cs="Open Sans"/>
          <w:i/>
          <w:iCs/>
        </w:rPr>
        <w:t>2022</w:t>
      </w:r>
      <w:r w:rsidR="7CD77735" w:rsidRPr="0BA05A84">
        <w:rPr>
          <w:rFonts w:ascii="Open Sans" w:eastAsia="Open Sans" w:hAnsi="Open Sans" w:cs="Open Sans"/>
          <w:i/>
          <w:iCs/>
        </w:rPr>
        <w:t xml:space="preserve">, As such, data on </w:t>
      </w:r>
      <w:r w:rsidR="7A9CB234" w:rsidRPr="0BA05A84">
        <w:rPr>
          <w:rFonts w:ascii="Open Sans" w:eastAsia="Open Sans" w:hAnsi="Open Sans" w:cs="Open Sans"/>
          <w:i/>
          <w:iCs/>
        </w:rPr>
        <w:t xml:space="preserve">how much the expanded EITC reduced poverty </w:t>
      </w:r>
      <w:r w:rsidR="30F3887B" w:rsidRPr="0BA05A84">
        <w:rPr>
          <w:rFonts w:ascii="Open Sans" w:eastAsia="Open Sans" w:hAnsi="Open Sans" w:cs="Open Sans"/>
          <w:i/>
          <w:iCs/>
        </w:rPr>
        <w:t xml:space="preserve">for these workers </w:t>
      </w:r>
      <w:r w:rsidR="5F4970F9" w:rsidRPr="0BA05A84">
        <w:rPr>
          <w:rFonts w:ascii="Open Sans" w:eastAsia="Open Sans" w:hAnsi="Open Sans" w:cs="Open Sans"/>
          <w:i/>
          <w:iCs/>
        </w:rPr>
        <w:t xml:space="preserve">is not yet available. </w:t>
      </w:r>
    </w:p>
    <w:p w14:paraId="50CAC520" w14:textId="4FD4F2E3" w:rsidR="00DD36D8" w:rsidRDefault="5B55BBE8" w:rsidP="59123555">
      <w:pPr>
        <w:spacing w:line="276" w:lineRule="auto"/>
        <w:rPr>
          <w:rFonts w:ascii="Open Sans" w:eastAsia="Open Sans" w:hAnsi="Open Sans" w:cs="Open Sans"/>
        </w:rPr>
      </w:pPr>
      <w:r w:rsidRPr="0BA05A84">
        <w:rPr>
          <w:rFonts w:ascii="Open Sans" w:eastAsia="Open Sans" w:hAnsi="Open Sans" w:cs="Open Sans"/>
        </w:rPr>
        <w:t>The tax code is a key tool for making structural change. Our advocacy on tax policy is not only about one-time payments for emergencies. It is about long-term policies that address historic underinvestment in renters, assist those who are struggling, and give people the resources to get ahead. The renter’s tax credit would provide targeted and increased support for those who have low or very low incomes and higher levels of rent burden.</w:t>
      </w:r>
    </w:p>
    <w:p w14:paraId="0DF93857" w14:textId="1FD6C182" w:rsidR="00DD36D8" w:rsidRDefault="5B55BBE8" w:rsidP="59123555">
      <w:pPr>
        <w:spacing w:line="276" w:lineRule="auto"/>
        <w:rPr>
          <w:rFonts w:ascii="Open Sans" w:eastAsia="Open Sans" w:hAnsi="Open Sans" w:cs="Open Sans"/>
        </w:rPr>
      </w:pPr>
      <w:r w:rsidRPr="0BA05A84">
        <w:rPr>
          <w:rFonts w:ascii="Open Sans" w:eastAsia="Open Sans" w:hAnsi="Open Sans" w:cs="Open Sans"/>
        </w:rPr>
        <w:t>Delivering new benefits through the tax code is possible. Using the existing mechanism</w:t>
      </w:r>
      <w:r w:rsidR="2D1B40EB" w:rsidRPr="0BA05A84">
        <w:rPr>
          <w:rFonts w:ascii="Open Sans" w:eastAsia="Open Sans" w:hAnsi="Open Sans" w:cs="Open Sans"/>
        </w:rPr>
        <w:t xml:space="preserve">s </w:t>
      </w:r>
      <w:r w:rsidRPr="0BA05A84">
        <w:rPr>
          <w:rFonts w:ascii="Open Sans" w:eastAsia="Open Sans" w:hAnsi="Open Sans" w:cs="Open Sans"/>
        </w:rPr>
        <w:t>for the advanced CTC, the EITC, and the Economic Impact Payment</w:t>
      </w:r>
      <w:r w:rsidR="033EED5A" w:rsidRPr="0BA05A84">
        <w:rPr>
          <w:rFonts w:ascii="Open Sans" w:eastAsia="Open Sans" w:hAnsi="Open Sans" w:cs="Open Sans"/>
        </w:rPr>
        <w:t>s</w:t>
      </w:r>
      <w:r w:rsidRPr="0BA05A84">
        <w:rPr>
          <w:rFonts w:ascii="Open Sans" w:eastAsia="Open Sans" w:hAnsi="Open Sans" w:cs="Open Sans"/>
        </w:rPr>
        <w:t xml:space="preserve"> (stimulus checks</w:t>
      </w:r>
      <w:r w:rsidR="449D18DF" w:rsidRPr="0BA05A84">
        <w:rPr>
          <w:rFonts w:ascii="Open Sans" w:eastAsia="Open Sans" w:hAnsi="Open Sans" w:cs="Open Sans"/>
        </w:rPr>
        <w:t xml:space="preserve"> during the first year of the COVID-19 pandemic</w:t>
      </w:r>
      <w:r w:rsidRPr="0BA05A84">
        <w:rPr>
          <w:rFonts w:ascii="Open Sans" w:eastAsia="Open Sans" w:hAnsi="Open Sans" w:cs="Open Sans"/>
        </w:rPr>
        <w:t xml:space="preserve">), we know we can put money directly in the pockets of people who need it – even </w:t>
      </w:r>
      <w:proofErr w:type="gramStart"/>
      <w:r w:rsidRPr="0BA05A84">
        <w:rPr>
          <w:rFonts w:ascii="Open Sans" w:eastAsia="Open Sans" w:hAnsi="Open Sans" w:cs="Open Sans"/>
        </w:rPr>
        <w:t>on a monthly basis</w:t>
      </w:r>
      <w:proofErr w:type="gramEnd"/>
      <w:r w:rsidRPr="0BA05A84">
        <w:rPr>
          <w:rFonts w:ascii="Open Sans" w:eastAsia="Open Sans" w:hAnsi="Open Sans" w:cs="Open Sans"/>
        </w:rPr>
        <w:t>. Using the tax code this way cuts administrative costs</w:t>
      </w:r>
      <w:r w:rsidR="59123555" w:rsidRPr="0BA05A84">
        <w:rPr>
          <w:rFonts w:ascii="Open Sans" w:eastAsia="Open Sans" w:hAnsi="Open Sans" w:cs="Open Sans"/>
        </w:rPr>
        <w:t xml:space="preserve"> </w:t>
      </w:r>
      <w:r w:rsidRPr="0BA05A84">
        <w:rPr>
          <w:rFonts w:ascii="Open Sans" w:eastAsia="Open Sans" w:hAnsi="Open Sans" w:cs="Open Sans"/>
        </w:rPr>
        <w:t>and burdens.</w:t>
      </w:r>
    </w:p>
    <w:p w14:paraId="2CF321AC" w14:textId="7E033EE4" w:rsidR="00DD36D8" w:rsidRDefault="5B55BBE8" w:rsidP="59123555">
      <w:pPr>
        <w:spacing w:line="276" w:lineRule="auto"/>
        <w:rPr>
          <w:rFonts w:ascii="Open Sans" w:eastAsia="Open Sans" w:hAnsi="Open Sans" w:cs="Open Sans"/>
        </w:rPr>
      </w:pPr>
      <w:r w:rsidRPr="3CCE253A">
        <w:rPr>
          <w:rFonts w:ascii="Open Sans" w:eastAsia="Open Sans" w:hAnsi="Open Sans" w:cs="Open Sans"/>
        </w:rPr>
        <w:lastRenderedPageBreak/>
        <w:t xml:space="preserve">The tax code is an important tool in our </w:t>
      </w:r>
      <w:r w:rsidR="5A69C962">
        <w:rPr>
          <w:rFonts w:ascii="Open Sans" w:eastAsia="Open Sans" w:hAnsi="Open Sans" w:cs="Open Sans"/>
        </w:rPr>
        <w:t xml:space="preserve">advocacy </w:t>
      </w:r>
      <w:r w:rsidRPr="3CCE253A">
        <w:rPr>
          <w:rFonts w:ascii="Open Sans" w:eastAsia="Open Sans" w:hAnsi="Open Sans" w:cs="Open Sans"/>
        </w:rPr>
        <w:t xml:space="preserve">toolbox for addressing the needs of people who are struggling in this country. While there are many important programs, like Housing Choice Vouchers, Public Housing, and other programs through the Department of Housing and Urban Development (HUD), these are not accessible or available for many people. </w:t>
      </w:r>
      <w:r w:rsidR="46347AA7">
        <w:rPr>
          <w:rFonts w:ascii="Open Sans" w:eastAsia="Open Sans" w:hAnsi="Open Sans" w:cs="Open Sans"/>
        </w:rPr>
        <w:t xml:space="preserve">Right now, only one in four eligible renters </w:t>
      </w:r>
      <w:r w:rsidR="7695A93B">
        <w:rPr>
          <w:rFonts w:ascii="Open Sans" w:eastAsia="Open Sans" w:hAnsi="Open Sans" w:cs="Open Sans"/>
        </w:rPr>
        <w:t>receives</w:t>
      </w:r>
      <w:r w:rsidR="47B4E84A">
        <w:rPr>
          <w:rFonts w:ascii="Open Sans" w:eastAsia="Open Sans" w:hAnsi="Open Sans" w:cs="Open Sans"/>
        </w:rPr>
        <w:t xml:space="preserve"> federal housing assistance</w:t>
      </w:r>
      <w:r w:rsidR="7695A93B">
        <w:rPr>
          <w:rFonts w:ascii="Open Sans" w:eastAsia="Open Sans" w:hAnsi="Open Sans" w:cs="Open Sans"/>
        </w:rPr>
        <w:t xml:space="preserve"> due to inadequate funding</w:t>
      </w:r>
      <w:r w:rsidR="47B4E84A">
        <w:rPr>
          <w:rFonts w:ascii="Open Sans" w:eastAsia="Open Sans" w:hAnsi="Open Sans" w:cs="Open Sans"/>
        </w:rPr>
        <w:t xml:space="preserve">. </w:t>
      </w:r>
      <w:r w:rsidRPr="3CCE253A">
        <w:rPr>
          <w:rFonts w:ascii="Open Sans" w:eastAsia="Open Sans" w:hAnsi="Open Sans" w:cs="Open Sans"/>
        </w:rPr>
        <w:t xml:space="preserve">With a renter's tax credit, we can address many of the gaps we see with these programs, such as the long waitlists to receive benefits, refusal of landlords to take part in programs, and limited housing choice. </w:t>
      </w:r>
      <w:r w:rsidR="4D801D1F">
        <w:rPr>
          <w:rFonts w:ascii="Open Sans" w:eastAsia="Open Sans" w:hAnsi="Open Sans" w:cs="Open Sans"/>
        </w:rPr>
        <w:t>O</w:t>
      </w:r>
      <w:r w:rsidRPr="3CCE253A">
        <w:rPr>
          <w:rFonts w:ascii="Open Sans" w:eastAsia="Open Sans" w:hAnsi="Open Sans" w:cs="Open Sans"/>
        </w:rPr>
        <w:t xml:space="preserve">ne study found that a </w:t>
      </w:r>
      <w:r w:rsidRPr="00E63AC7">
        <w:rPr>
          <w:rFonts w:ascii="Open Sans" w:eastAsia="Open Sans" w:hAnsi="Open Sans" w:cs="Open Sans"/>
        </w:rPr>
        <w:t xml:space="preserve">renter’s credit would assist </w:t>
      </w:r>
      <w:r w:rsidR="4D801D1F">
        <w:rPr>
          <w:rFonts w:ascii="Open Sans" w:eastAsia="Open Sans" w:hAnsi="Open Sans" w:cs="Open Sans"/>
        </w:rPr>
        <w:t>two and half times</w:t>
      </w:r>
      <w:r w:rsidRPr="00E63AC7">
        <w:rPr>
          <w:rFonts w:ascii="Open Sans" w:eastAsia="Open Sans" w:hAnsi="Open Sans" w:cs="Open Sans"/>
        </w:rPr>
        <w:t xml:space="preserve"> as many poor renters and </w:t>
      </w:r>
      <w:r w:rsidR="4D801D1F">
        <w:rPr>
          <w:rFonts w:ascii="Open Sans" w:eastAsia="Open Sans" w:hAnsi="Open Sans" w:cs="Open Sans"/>
        </w:rPr>
        <w:t>nearly three times</w:t>
      </w:r>
      <w:r w:rsidRPr="00E63AC7">
        <w:rPr>
          <w:rFonts w:ascii="Open Sans" w:eastAsia="Open Sans" w:hAnsi="Open Sans" w:cs="Open Sans"/>
        </w:rPr>
        <w:t xml:space="preserve"> as many severely cost-burdened renters</w:t>
      </w:r>
      <w:r w:rsidRPr="3CCE253A">
        <w:rPr>
          <w:rFonts w:ascii="Open Sans" w:eastAsia="Open Sans" w:hAnsi="Open Sans" w:cs="Open Sans"/>
        </w:rPr>
        <w:t xml:space="preserve"> as existing housing subsidy programs.</w:t>
      </w:r>
      <w:r w:rsidR="004B62C4">
        <w:rPr>
          <w:rStyle w:val="EndnoteReference"/>
          <w:rFonts w:ascii="Open Sans" w:eastAsia="Open Sans" w:hAnsi="Open Sans" w:cs="Open Sans"/>
        </w:rPr>
        <w:endnoteReference w:id="36"/>
      </w:r>
      <w:r w:rsidRPr="3CCE253A">
        <w:rPr>
          <w:rFonts w:ascii="Open Sans" w:eastAsia="Open Sans" w:hAnsi="Open Sans" w:cs="Open Sans"/>
        </w:rPr>
        <w:t xml:space="preserve"> </w:t>
      </w:r>
    </w:p>
    <w:p w14:paraId="28F5A443" w14:textId="3A68E761" w:rsidR="005C69E5" w:rsidRPr="0056040E" w:rsidRDefault="6C42BB03" w:rsidP="59123555">
      <w:pPr>
        <w:pBdr>
          <w:top w:val="nil"/>
          <w:left w:val="nil"/>
          <w:bottom w:val="nil"/>
          <w:right w:val="nil"/>
          <w:between w:val="nil"/>
        </w:pBdr>
        <w:spacing w:line="276" w:lineRule="auto"/>
        <w:rPr>
          <w:rFonts w:ascii="Open Sans" w:hAnsi="Open Sans" w:cs="Open Sans"/>
          <w:b/>
          <w:bCs/>
          <w:i/>
          <w:iCs/>
          <w:color w:val="000000"/>
        </w:rPr>
      </w:pPr>
      <w:r w:rsidRPr="59123555">
        <w:rPr>
          <w:rFonts w:ascii="Open Sans" w:hAnsi="Open Sans" w:cs="Open Sans"/>
          <w:b/>
          <w:bCs/>
          <w:i/>
          <w:iCs/>
          <w:color w:val="000000" w:themeColor="text1"/>
        </w:rPr>
        <w:t xml:space="preserve">A refundable renter’s tax credit would broadly benefit households that existing housing and homelessness programs are unable to serve. </w:t>
      </w:r>
    </w:p>
    <w:p w14:paraId="2A899ED4" w14:textId="34ECA436" w:rsidR="00767C79" w:rsidRDefault="6C42BB03" w:rsidP="0BA05A84">
      <w:pPr>
        <w:spacing w:line="257" w:lineRule="auto"/>
        <w:rPr>
          <w:rFonts w:ascii="Open Sans" w:eastAsia="Open Sans" w:hAnsi="Open Sans" w:cs="Open Sans"/>
        </w:rPr>
      </w:pPr>
      <w:r w:rsidRPr="0BA05A84">
        <w:rPr>
          <w:rFonts w:ascii="Open Sans" w:hAnsi="Open Sans" w:cs="Open Sans"/>
          <w:color w:val="000000" w:themeColor="text1"/>
        </w:rPr>
        <w:t>There is no one-size-fits-all solution to addressing the affordable housing and homelessness crises.</w:t>
      </w:r>
      <w:r w:rsidRPr="0BA05A84">
        <w:rPr>
          <w:rFonts w:ascii="Open Sans" w:hAnsi="Open Sans" w:cs="Open Sans"/>
        </w:rPr>
        <w:t xml:space="preserve"> Congress provides modest funding for conventional housing assistance and homelessness programs. But these programs are provided </w:t>
      </w:r>
      <w:r w:rsidR="7CC69FC1" w:rsidRPr="0BA05A84">
        <w:rPr>
          <w:rFonts w:ascii="Open Sans" w:hAnsi="Open Sans" w:cs="Open Sans"/>
        </w:rPr>
        <w:t xml:space="preserve">only </w:t>
      </w:r>
      <w:r w:rsidRPr="0BA05A84">
        <w:rPr>
          <w:rFonts w:ascii="Open Sans" w:hAnsi="Open Sans" w:cs="Open Sans"/>
        </w:rPr>
        <w:t xml:space="preserve">to a small segment of the population who need assistance and meet certain eligibility requirements. </w:t>
      </w:r>
      <w:r w:rsidR="7CC69FC1" w:rsidRPr="0BA05A84">
        <w:rPr>
          <w:rFonts w:ascii="Open Sans" w:hAnsi="Open Sans" w:cs="Open Sans"/>
        </w:rPr>
        <w:t>E</w:t>
      </w:r>
      <w:r w:rsidRPr="0BA05A84">
        <w:rPr>
          <w:rFonts w:ascii="Open Sans" w:hAnsi="Open Sans" w:cs="Open Sans"/>
        </w:rPr>
        <w:t xml:space="preserve">fforts to expand them quickly through the </w:t>
      </w:r>
      <w:r w:rsidR="4701AA5D" w:rsidRPr="0BA05A84">
        <w:rPr>
          <w:rFonts w:ascii="Open Sans" w:hAnsi="Open Sans" w:cs="Open Sans"/>
        </w:rPr>
        <w:t xml:space="preserve">congressional </w:t>
      </w:r>
      <w:r w:rsidRPr="0BA05A84">
        <w:rPr>
          <w:rFonts w:ascii="Open Sans" w:hAnsi="Open Sans" w:cs="Open Sans"/>
        </w:rPr>
        <w:t>appropriations</w:t>
      </w:r>
      <w:r w:rsidR="4701AA5D" w:rsidRPr="0BA05A84">
        <w:rPr>
          <w:rFonts w:ascii="Open Sans" w:hAnsi="Open Sans" w:cs="Open Sans"/>
        </w:rPr>
        <w:t xml:space="preserve"> process</w:t>
      </w:r>
      <w:r w:rsidRPr="0BA05A84">
        <w:rPr>
          <w:rFonts w:ascii="Open Sans" w:hAnsi="Open Sans" w:cs="Open Sans"/>
        </w:rPr>
        <w:t xml:space="preserve"> is just not feasible given the incremental and discretionary nature of </w:t>
      </w:r>
      <w:r w:rsidR="7A37ED5B" w:rsidRPr="0BA05A84">
        <w:rPr>
          <w:rFonts w:ascii="Open Sans" w:hAnsi="Open Sans" w:cs="Open Sans"/>
        </w:rPr>
        <w:t>that</w:t>
      </w:r>
      <w:r w:rsidRPr="0BA05A84">
        <w:rPr>
          <w:rFonts w:ascii="Open Sans" w:hAnsi="Open Sans" w:cs="Open Sans"/>
        </w:rPr>
        <w:t xml:space="preserve"> process. </w:t>
      </w:r>
      <w:r w:rsidR="0BA05A84" w:rsidRPr="0BA05A84">
        <w:rPr>
          <w:rFonts w:ascii="Open Sans" w:eastAsia="Open Sans" w:hAnsi="Open Sans" w:cs="Open Sans"/>
        </w:rPr>
        <w:t xml:space="preserve">Instead, a renter’s tax credit would be a more immediate and complementary way of addressing the problems with current aid programs. </w:t>
      </w:r>
    </w:p>
    <w:p w14:paraId="72AB545C" w14:textId="2AEE0492" w:rsidR="005C69E5" w:rsidRPr="0056040E" w:rsidRDefault="6C42BB03" w:rsidP="59123555">
      <w:pPr>
        <w:spacing w:line="276" w:lineRule="auto"/>
        <w:rPr>
          <w:rFonts w:ascii="Open Sans" w:hAnsi="Open Sans" w:cs="Open Sans"/>
          <w:vertAlign w:val="superscript"/>
        </w:rPr>
      </w:pPr>
      <w:r w:rsidRPr="0056040E">
        <w:rPr>
          <w:rFonts w:ascii="Open Sans" w:hAnsi="Open Sans" w:cs="Open Sans"/>
        </w:rPr>
        <w:t xml:space="preserve">Many states and local communities are also taking additional steps to address the affordable housing crisis. But these actions, along with the patchwork of state-level </w:t>
      </w:r>
      <w:proofErr w:type="gramStart"/>
      <w:r w:rsidRPr="0056040E">
        <w:rPr>
          <w:rFonts w:ascii="Open Sans" w:hAnsi="Open Sans" w:cs="Open Sans"/>
        </w:rPr>
        <w:t>renter‘</w:t>
      </w:r>
      <w:proofErr w:type="gramEnd"/>
      <w:r w:rsidRPr="0056040E">
        <w:rPr>
          <w:rFonts w:ascii="Open Sans" w:hAnsi="Open Sans" w:cs="Open Sans"/>
        </w:rPr>
        <w:t xml:space="preserve">s tax credits, are not enough to ensure everyone who needs housing assistance receives it. Many households do not qualify for these programs because of narrow eligibility </w:t>
      </w:r>
      <w:r w:rsidR="26BC2A58">
        <w:rPr>
          <w:rFonts w:ascii="Open Sans" w:hAnsi="Open Sans" w:cs="Open Sans"/>
        </w:rPr>
        <w:t>guidelines</w:t>
      </w:r>
      <w:r w:rsidRPr="0056040E">
        <w:rPr>
          <w:rFonts w:ascii="Open Sans" w:hAnsi="Open Sans" w:cs="Open Sans"/>
        </w:rPr>
        <w:t xml:space="preserve"> that limit who gets assistance. </w:t>
      </w:r>
      <w:r w:rsidR="75B5A7E0">
        <w:rPr>
          <w:rFonts w:ascii="Open Sans" w:hAnsi="Open Sans" w:cs="Open Sans"/>
        </w:rPr>
        <w:t>And t</w:t>
      </w:r>
      <w:r w:rsidRPr="0056040E">
        <w:rPr>
          <w:rFonts w:ascii="Open Sans" w:hAnsi="Open Sans" w:cs="Open Sans"/>
        </w:rPr>
        <w:t>hose who are eligible endure extremely long wait lists</w:t>
      </w:r>
      <w:r w:rsidR="005C69E5" w:rsidRPr="0056040E">
        <w:rPr>
          <w:rFonts w:ascii="Open Sans" w:hAnsi="Open Sans" w:cs="Open Sans"/>
          <w:vertAlign w:val="superscript"/>
        </w:rPr>
        <w:endnoteReference w:id="37"/>
      </w:r>
      <w:r w:rsidRPr="0056040E">
        <w:rPr>
          <w:rFonts w:ascii="Open Sans" w:hAnsi="Open Sans" w:cs="Open Sans"/>
        </w:rPr>
        <w:t xml:space="preserve"> or face discrimination in the housing market.</w:t>
      </w:r>
      <w:r w:rsidR="005C69E5" w:rsidRPr="0056040E">
        <w:rPr>
          <w:rFonts w:ascii="Open Sans" w:hAnsi="Open Sans" w:cs="Open Sans"/>
          <w:vertAlign w:val="superscript"/>
        </w:rPr>
        <w:endnoteReference w:id="38"/>
      </w:r>
      <w:r w:rsidRPr="0056040E">
        <w:rPr>
          <w:rFonts w:ascii="Open Sans" w:hAnsi="Open Sans" w:cs="Open Sans"/>
        </w:rPr>
        <w:t xml:space="preserve"> A recent audit of the U.S. Department of Housing and Urban Development (HUD) showed </w:t>
      </w:r>
      <w:r w:rsidRPr="0056040E">
        <w:rPr>
          <w:rFonts w:ascii="Open Sans" w:hAnsi="Open Sans" w:cs="Open Sans"/>
          <w:color w:val="000000"/>
        </w:rPr>
        <w:t>low use of housing vouchers.</w:t>
      </w:r>
      <w:r w:rsidR="005C69E5" w:rsidRPr="0056040E">
        <w:rPr>
          <w:rFonts w:ascii="Open Sans" w:hAnsi="Open Sans" w:cs="Open Sans"/>
          <w:color w:val="000000"/>
          <w:vertAlign w:val="superscript"/>
        </w:rPr>
        <w:endnoteReference w:id="39"/>
      </w:r>
      <w:r w:rsidRPr="0056040E">
        <w:rPr>
          <w:rFonts w:ascii="Open Sans" w:hAnsi="Open Sans" w:cs="Open Sans"/>
          <w:color w:val="000000"/>
        </w:rPr>
        <w:t xml:space="preserve"> These low rates are not due to absence of need nor demand, but rather the </w:t>
      </w:r>
      <w:r w:rsidR="51E20F42">
        <w:rPr>
          <w:rFonts w:ascii="Open Sans" w:hAnsi="Open Sans" w:cs="Open Sans"/>
          <w:color w:val="000000"/>
        </w:rPr>
        <w:t xml:space="preserve">chronic </w:t>
      </w:r>
      <w:r w:rsidRPr="0056040E">
        <w:rPr>
          <w:rFonts w:ascii="Open Sans" w:hAnsi="Open Sans" w:cs="Open Sans"/>
          <w:color w:val="000000"/>
        </w:rPr>
        <w:t>underfund</w:t>
      </w:r>
      <w:r w:rsidR="51E20F42">
        <w:rPr>
          <w:rFonts w:ascii="Open Sans" w:hAnsi="Open Sans" w:cs="Open Sans"/>
          <w:color w:val="000000"/>
        </w:rPr>
        <w:t>ing</w:t>
      </w:r>
      <w:r w:rsidRPr="0056040E">
        <w:rPr>
          <w:rFonts w:ascii="Open Sans" w:hAnsi="Open Sans" w:cs="Open Sans"/>
          <w:color w:val="000000"/>
        </w:rPr>
        <w:t xml:space="preserve"> of the program. </w:t>
      </w:r>
      <w:r w:rsidR="493618E7">
        <w:rPr>
          <w:rFonts w:ascii="Open Sans" w:hAnsi="Open Sans" w:cs="Open Sans"/>
          <w:color w:val="000000"/>
        </w:rPr>
        <w:t>In addition, l</w:t>
      </w:r>
      <w:r w:rsidRPr="0056040E">
        <w:rPr>
          <w:rFonts w:ascii="Open Sans" w:hAnsi="Open Sans" w:cs="Open Sans"/>
        </w:rPr>
        <w:t>ong-term plans to increase the supply of affordable housing will provide only minimal relief (if any) for currently suffering and struggling families.</w:t>
      </w:r>
      <w:r w:rsidR="005C69E5" w:rsidRPr="0056040E">
        <w:rPr>
          <w:rFonts w:ascii="Open Sans" w:hAnsi="Open Sans" w:cs="Open Sans"/>
          <w:vertAlign w:val="superscript"/>
        </w:rPr>
        <w:endnoteReference w:id="40"/>
      </w:r>
    </w:p>
    <w:p w14:paraId="31D04C34" w14:textId="1E84BDC2" w:rsidR="005C69E5" w:rsidRPr="0056040E" w:rsidRDefault="6C42BB03" w:rsidP="59123555">
      <w:pPr>
        <w:spacing w:line="276" w:lineRule="auto"/>
        <w:rPr>
          <w:rFonts w:ascii="Open Sans" w:hAnsi="Open Sans" w:cs="Open Sans"/>
          <w:color w:val="000000"/>
        </w:rPr>
      </w:pPr>
      <w:r w:rsidRPr="0056040E">
        <w:rPr>
          <w:rFonts w:ascii="Open Sans" w:hAnsi="Open Sans" w:cs="Open Sans"/>
        </w:rPr>
        <w:t xml:space="preserve">As the </w:t>
      </w:r>
      <w:proofErr w:type="spellStart"/>
      <w:r w:rsidRPr="0056040E">
        <w:rPr>
          <w:rFonts w:ascii="Open Sans" w:hAnsi="Open Sans" w:cs="Open Sans"/>
        </w:rPr>
        <w:t>T</w:t>
      </w:r>
      <w:r w:rsidR="2FEC2FEC">
        <w:rPr>
          <w:rFonts w:ascii="Open Sans" w:hAnsi="Open Sans" w:cs="Open Sans"/>
        </w:rPr>
        <w:t>e</w:t>
      </w:r>
      <w:r w:rsidRPr="0056040E">
        <w:rPr>
          <w:rFonts w:ascii="Open Sans" w:hAnsi="Open Sans" w:cs="Open Sans"/>
        </w:rPr>
        <w:t>rner</w:t>
      </w:r>
      <w:proofErr w:type="spellEnd"/>
      <w:r w:rsidRPr="0056040E">
        <w:rPr>
          <w:rFonts w:ascii="Open Sans" w:hAnsi="Open Sans" w:cs="Open Sans"/>
        </w:rPr>
        <w:t xml:space="preserve"> Center suggests, effective housing policy should be a ladder of opportunity</w:t>
      </w:r>
      <w:r w:rsidRPr="0056040E">
        <w:rPr>
          <w:rFonts w:ascii="Open Sans" w:hAnsi="Open Sans" w:cs="Open Sans"/>
          <w:color w:val="000000"/>
        </w:rPr>
        <w:t>.</w:t>
      </w:r>
      <w:r w:rsidR="005C69E5" w:rsidRPr="0056040E">
        <w:rPr>
          <w:rFonts w:ascii="Open Sans" w:hAnsi="Open Sans" w:cs="Open Sans"/>
          <w:color w:val="000000"/>
          <w:vertAlign w:val="superscript"/>
        </w:rPr>
        <w:endnoteReference w:id="41"/>
      </w:r>
      <w:r w:rsidRPr="0056040E">
        <w:rPr>
          <w:rFonts w:ascii="Open Sans" w:hAnsi="Open Sans" w:cs="Open Sans"/>
          <w:color w:val="000000"/>
        </w:rPr>
        <w:t xml:space="preserve"> Each rung on the ladder should help people reach their goals, whether that is homeownership, escaping poverty, affording necessities, or moving to a preferred area. However, the ladder of housing policy today is neither complete nor accessible. The renter’s tax credit</w:t>
      </w:r>
      <w:r w:rsidR="6741B835">
        <w:rPr>
          <w:rFonts w:ascii="Open Sans" w:hAnsi="Open Sans" w:cs="Open Sans"/>
          <w:color w:val="000000"/>
        </w:rPr>
        <w:t xml:space="preserve"> would be</w:t>
      </w:r>
      <w:r w:rsidRPr="0056040E">
        <w:rPr>
          <w:rFonts w:ascii="Open Sans" w:hAnsi="Open Sans" w:cs="Open Sans"/>
          <w:color w:val="000000"/>
        </w:rPr>
        <w:t xml:space="preserve"> another </w:t>
      </w:r>
      <w:r w:rsidR="633C5612">
        <w:rPr>
          <w:rFonts w:ascii="Open Sans" w:hAnsi="Open Sans" w:cs="Open Sans"/>
          <w:color w:val="000000"/>
        </w:rPr>
        <w:t xml:space="preserve">important </w:t>
      </w:r>
      <w:r w:rsidRPr="0056040E">
        <w:rPr>
          <w:rFonts w:ascii="Open Sans" w:hAnsi="Open Sans" w:cs="Open Sans"/>
          <w:color w:val="000000"/>
        </w:rPr>
        <w:t xml:space="preserve">rung on that ladder to supplement and complement existing housing programs - it is an additional and critical tool to solve </w:t>
      </w:r>
      <w:r w:rsidRPr="0056040E">
        <w:rPr>
          <w:rFonts w:ascii="Open Sans" w:hAnsi="Open Sans" w:cs="Open Sans"/>
          <w:color w:val="000000"/>
        </w:rPr>
        <w:lastRenderedPageBreak/>
        <w:t xml:space="preserve">remaining issues with affordable housing, poverty, and homelessness. A renter’s tax credit that reaches a broader segment of the population would provide much needed housing stability that would likely keep adults in the workforce, off public benefits, and prevent households from entering the homeless system of care. </w:t>
      </w:r>
    </w:p>
    <w:p w14:paraId="1F082742" w14:textId="77777777" w:rsidR="005C69E5" w:rsidRPr="0056040E" w:rsidRDefault="6C42BB03" w:rsidP="59123555">
      <w:pPr>
        <w:pBdr>
          <w:top w:val="nil"/>
          <w:left w:val="nil"/>
          <w:bottom w:val="nil"/>
          <w:right w:val="nil"/>
          <w:between w:val="nil"/>
        </w:pBdr>
        <w:spacing w:line="276" w:lineRule="auto"/>
        <w:rPr>
          <w:rFonts w:ascii="Open Sans" w:hAnsi="Open Sans" w:cs="Open Sans"/>
          <w:b/>
          <w:bCs/>
          <w:i/>
          <w:iCs/>
          <w:color w:val="000000"/>
        </w:rPr>
      </w:pPr>
      <w:r w:rsidRPr="59123555">
        <w:rPr>
          <w:rFonts w:ascii="Open Sans" w:hAnsi="Open Sans" w:cs="Open Sans"/>
          <w:b/>
          <w:bCs/>
          <w:i/>
          <w:iCs/>
          <w:color w:val="000000" w:themeColor="text1"/>
        </w:rPr>
        <w:t>A renter’s tax credit is urgently needed to address the worsening affordable housing and homelessness crises as pandemic assistance ends.</w:t>
      </w:r>
    </w:p>
    <w:p w14:paraId="16D6C394" w14:textId="35366EDE" w:rsidR="005C69E5" w:rsidRPr="0056040E" w:rsidRDefault="6C42BB03" w:rsidP="59123555">
      <w:pPr>
        <w:spacing w:line="276" w:lineRule="auto"/>
        <w:rPr>
          <w:rFonts w:ascii="Open Sans" w:hAnsi="Open Sans" w:cs="Open Sans"/>
        </w:rPr>
      </w:pPr>
      <w:r w:rsidRPr="59123555">
        <w:rPr>
          <w:rFonts w:ascii="Open Sans" w:hAnsi="Open Sans" w:cs="Open Sans"/>
        </w:rPr>
        <w:t xml:space="preserve">The COVID-19 pandemic exacerbated the housing affordability, eviction, and homelessness crises that have existed for decades. Local, state, and federal governments intervened to prevent the imminent threat of further economic fallout from the pandemic </w:t>
      </w:r>
      <w:r w:rsidR="494F4B4B" w:rsidRPr="59123555">
        <w:rPr>
          <w:rFonts w:ascii="Open Sans" w:hAnsi="Open Sans" w:cs="Open Sans"/>
        </w:rPr>
        <w:t>by</w:t>
      </w:r>
      <w:r w:rsidRPr="59123555">
        <w:rPr>
          <w:rFonts w:ascii="Open Sans" w:hAnsi="Open Sans" w:cs="Open Sans"/>
        </w:rPr>
        <w:t xml:space="preserve"> enacting eviction moratoria, spending bills</w:t>
      </w:r>
      <w:r w:rsidR="7A47A131" w:rsidRPr="59123555">
        <w:rPr>
          <w:rFonts w:ascii="Open Sans" w:hAnsi="Open Sans" w:cs="Open Sans"/>
        </w:rPr>
        <w:t>,</w:t>
      </w:r>
      <w:r w:rsidRPr="59123555">
        <w:rPr>
          <w:rFonts w:ascii="Open Sans" w:hAnsi="Open Sans" w:cs="Open Sans"/>
        </w:rPr>
        <w:t xml:space="preserve"> and tax reforms to provide immediate cash relief to struggling renters and families.</w:t>
      </w:r>
    </w:p>
    <w:p w14:paraId="4819CBDF" w14:textId="3E814DD6" w:rsidR="005C69E5" w:rsidRPr="0056040E" w:rsidRDefault="6C42BB03" w:rsidP="59123555">
      <w:pPr>
        <w:spacing w:line="276" w:lineRule="auto"/>
        <w:rPr>
          <w:rFonts w:ascii="Open Sans" w:hAnsi="Open Sans" w:cs="Open Sans"/>
        </w:rPr>
      </w:pPr>
      <w:r w:rsidRPr="0056040E">
        <w:rPr>
          <w:rFonts w:ascii="Open Sans" w:hAnsi="Open Sans" w:cs="Open Sans"/>
        </w:rPr>
        <w:t xml:space="preserve">Many of these interventions enacted and passed during the height of the pandemic have already ended. Yet </w:t>
      </w:r>
      <w:r w:rsidR="082EA37F">
        <w:rPr>
          <w:rFonts w:ascii="Open Sans" w:hAnsi="Open Sans" w:cs="Open Sans"/>
        </w:rPr>
        <w:t>increased</w:t>
      </w:r>
      <w:r w:rsidR="082EA37F" w:rsidRPr="0056040E">
        <w:rPr>
          <w:rFonts w:ascii="Open Sans" w:hAnsi="Open Sans" w:cs="Open Sans"/>
        </w:rPr>
        <w:t xml:space="preserve"> </w:t>
      </w:r>
      <w:r w:rsidRPr="0056040E">
        <w:rPr>
          <w:rFonts w:ascii="Open Sans" w:hAnsi="Open Sans" w:cs="Open Sans"/>
        </w:rPr>
        <w:t>housing demand together with the ongoing shortage of affordable housing in the United States (which existed before the pandemic) are causing home and rental prices to soar.</w:t>
      </w:r>
      <w:r w:rsidR="005C69E5" w:rsidRPr="0056040E">
        <w:rPr>
          <w:rFonts w:ascii="Open Sans" w:hAnsi="Open Sans" w:cs="Open Sans"/>
          <w:vertAlign w:val="superscript"/>
        </w:rPr>
        <w:endnoteReference w:id="42"/>
      </w:r>
      <w:r w:rsidRPr="0056040E">
        <w:rPr>
          <w:rFonts w:ascii="Open Sans" w:hAnsi="Open Sans" w:cs="Open Sans"/>
        </w:rPr>
        <w:t xml:space="preserve"> Economists predict that rising rents and home prices are unlikely to slow down anytime soon, putting more pressure on already struggling families.</w:t>
      </w:r>
      <w:r w:rsidR="005C69E5" w:rsidRPr="0056040E">
        <w:rPr>
          <w:rFonts w:ascii="Open Sans" w:hAnsi="Open Sans" w:cs="Open Sans"/>
          <w:vertAlign w:val="superscript"/>
        </w:rPr>
        <w:endnoteReference w:id="43"/>
      </w:r>
      <w:r w:rsidRPr="0056040E">
        <w:rPr>
          <w:rFonts w:ascii="Open Sans" w:hAnsi="Open Sans" w:cs="Open Sans"/>
        </w:rPr>
        <w:t xml:space="preserve"> </w:t>
      </w:r>
    </w:p>
    <w:p w14:paraId="20AF1250" w14:textId="28954350" w:rsidR="005C69E5" w:rsidRPr="0056040E" w:rsidRDefault="6C42BB03" w:rsidP="59123555">
      <w:pPr>
        <w:spacing w:line="276" w:lineRule="auto"/>
        <w:rPr>
          <w:rFonts w:ascii="Open Sans" w:hAnsi="Open Sans" w:cs="Open Sans"/>
          <w:color w:val="000000"/>
        </w:rPr>
      </w:pPr>
      <w:r w:rsidRPr="0BA05A84">
        <w:rPr>
          <w:rFonts w:ascii="Open Sans" w:hAnsi="Open Sans" w:cs="Open Sans"/>
        </w:rPr>
        <w:t xml:space="preserve">A renter’s tax credit for lower-income individuals and families would help defray the cost of rent, particularly at a time when rent increases have outpaced inflation and wage growth. By providing housing stability to households, a renter’s tax credit would prevent many more Americans from experiencing homelessness. </w:t>
      </w:r>
    </w:p>
    <w:p w14:paraId="775E5AE7" w14:textId="77777777" w:rsidR="005C69E5" w:rsidRPr="0056040E" w:rsidRDefault="6C42BB03" w:rsidP="59123555">
      <w:pPr>
        <w:pBdr>
          <w:top w:val="nil"/>
          <w:left w:val="nil"/>
          <w:bottom w:val="nil"/>
          <w:right w:val="nil"/>
          <w:between w:val="nil"/>
        </w:pBdr>
        <w:spacing w:line="276" w:lineRule="auto"/>
        <w:rPr>
          <w:rFonts w:ascii="Open Sans" w:hAnsi="Open Sans" w:cs="Open Sans"/>
          <w:b/>
          <w:bCs/>
          <w:i/>
          <w:iCs/>
          <w:color w:val="111111"/>
        </w:rPr>
      </w:pPr>
      <w:r w:rsidRPr="59123555">
        <w:rPr>
          <w:rFonts w:ascii="Open Sans" w:hAnsi="Open Sans" w:cs="Open Sans"/>
          <w:b/>
          <w:bCs/>
          <w:i/>
          <w:iCs/>
          <w:color w:val="111111"/>
        </w:rPr>
        <w:t>A refundable renter’s tax credit creates a more equitable tax code.</w:t>
      </w:r>
    </w:p>
    <w:p w14:paraId="79D259EF" w14:textId="629FC5DF" w:rsidR="005C69E5" w:rsidRPr="0056040E" w:rsidRDefault="6C42BB03" w:rsidP="59123555">
      <w:pPr>
        <w:spacing w:line="276" w:lineRule="auto"/>
        <w:rPr>
          <w:rFonts w:ascii="Open Sans" w:hAnsi="Open Sans" w:cs="Open Sans"/>
          <w:color w:val="000000"/>
        </w:rPr>
      </w:pPr>
      <w:r w:rsidRPr="0056040E">
        <w:rPr>
          <w:rFonts w:ascii="Open Sans" w:hAnsi="Open Sans" w:cs="Open Sans"/>
          <w:color w:val="000000"/>
        </w:rPr>
        <w:t>Pursuing a renter’s credit is also a matter of equity</w:t>
      </w:r>
      <w:r w:rsidR="651FD9A5">
        <w:rPr>
          <w:rFonts w:ascii="Open Sans" w:hAnsi="Open Sans" w:cs="Open Sans"/>
          <w:color w:val="000000"/>
        </w:rPr>
        <w:t>. T</w:t>
      </w:r>
      <w:r w:rsidRPr="0056040E">
        <w:rPr>
          <w:rFonts w:ascii="Open Sans" w:hAnsi="Open Sans" w:cs="Open Sans"/>
          <w:color w:val="000000"/>
        </w:rPr>
        <w:t xml:space="preserve">he tax code has long given benefits to homeowners (primarily through residential mortgage interest and property tax deductions) </w:t>
      </w:r>
      <w:r w:rsidR="651FD9A5">
        <w:rPr>
          <w:rFonts w:ascii="Open Sans" w:hAnsi="Open Sans" w:cs="Open Sans"/>
          <w:color w:val="000000"/>
        </w:rPr>
        <w:t xml:space="preserve">as well as </w:t>
      </w:r>
      <w:r w:rsidRPr="0056040E">
        <w:rPr>
          <w:rFonts w:ascii="Open Sans" w:hAnsi="Open Sans" w:cs="Open Sans"/>
          <w:color w:val="000000"/>
        </w:rPr>
        <w:t>builders, developers, and landlords (through the Low-Income Housing Tax Credit), but not to renters, who are basically enter</w:t>
      </w:r>
      <w:r w:rsidR="6099E34F">
        <w:rPr>
          <w:rFonts w:ascii="Open Sans" w:hAnsi="Open Sans" w:cs="Open Sans"/>
          <w:color w:val="000000"/>
        </w:rPr>
        <w:t>ing</w:t>
      </w:r>
      <w:r w:rsidRPr="0056040E">
        <w:rPr>
          <w:rFonts w:ascii="Open Sans" w:hAnsi="Open Sans" w:cs="Open Sans"/>
          <w:color w:val="000000"/>
        </w:rPr>
        <w:t xml:space="preserve"> a lottery for </w:t>
      </w:r>
      <w:r w:rsidR="467DCD0B">
        <w:rPr>
          <w:rFonts w:ascii="Open Sans" w:hAnsi="Open Sans" w:cs="Open Sans"/>
          <w:color w:val="000000"/>
        </w:rPr>
        <w:t xml:space="preserve">federal </w:t>
      </w:r>
      <w:r w:rsidRPr="0056040E">
        <w:rPr>
          <w:rFonts w:ascii="Open Sans" w:hAnsi="Open Sans" w:cs="Open Sans"/>
          <w:color w:val="000000"/>
        </w:rPr>
        <w:t xml:space="preserve">rental assistance. </w:t>
      </w:r>
      <w:r w:rsidR="6AEDEC09">
        <w:rPr>
          <w:rFonts w:ascii="Open Sans" w:hAnsi="Open Sans" w:cs="Open Sans"/>
          <w:color w:val="000000"/>
        </w:rPr>
        <w:t>Also, m</w:t>
      </w:r>
      <w:r w:rsidRPr="0056040E">
        <w:rPr>
          <w:rFonts w:ascii="Open Sans" w:hAnsi="Open Sans" w:cs="Open Sans"/>
          <w:color w:val="000000"/>
        </w:rPr>
        <w:t xml:space="preserve">any tax breaks, such as the mortgage interest deduction, the first-time homebuyer’s credit, and state and local property tax deductions, mostly favor white, wealthy homeowners. This disparity </w:t>
      </w:r>
      <w:r w:rsidRPr="0056040E">
        <w:rPr>
          <w:rFonts w:ascii="Open Sans" w:hAnsi="Open Sans" w:cs="Open Sans"/>
        </w:rPr>
        <w:t>exacerbates already enormous racial income and wealth gaps.</w:t>
      </w:r>
      <w:r w:rsidR="005C69E5" w:rsidRPr="0056040E">
        <w:rPr>
          <w:rFonts w:ascii="Open Sans" w:hAnsi="Open Sans" w:cs="Open Sans"/>
          <w:color w:val="000000"/>
          <w:vertAlign w:val="superscript"/>
        </w:rPr>
        <w:endnoteReference w:id="44"/>
      </w:r>
      <w:r w:rsidRPr="0056040E">
        <w:rPr>
          <w:rFonts w:ascii="Open Sans" w:hAnsi="Open Sans" w:cs="Open Sans"/>
          <w:color w:val="000000"/>
          <w:vertAlign w:val="superscript"/>
        </w:rPr>
        <w:t xml:space="preserve"> </w:t>
      </w:r>
      <w:r w:rsidRPr="0056040E">
        <w:rPr>
          <w:rFonts w:ascii="Open Sans" w:hAnsi="Open Sans" w:cs="Open Sans"/>
          <w:color w:val="000000"/>
        </w:rPr>
        <w:t xml:space="preserve">Similarly, the current </w:t>
      </w:r>
      <w:r w:rsidR="10E906DA">
        <w:rPr>
          <w:rFonts w:ascii="Open Sans" w:hAnsi="Open Sans" w:cs="Open Sans"/>
          <w:color w:val="000000"/>
        </w:rPr>
        <w:t xml:space="preserve">lack of </w:t>
      </w:r>
      <w:r w:rsidRPr="0056040E">
        <w:rPr>
          <w:rFonts w:ascii="Open Sans" w:hAnsi="Open Sans" w:cs="Open Sans"/>
          <w:color w:val="000000"/>
        </w:rPr>
        <w:t xml:space="preserve">affordable rental housing across the United States provides evidence that </w:t>
      </w:r>
      <w:r w:rsidR="32368A12">
        <w:rPr>
          <w:rFonts w:ascii="Open Sans" w:hAnsi="Open Sans" w:cs="Open Sans"/>
          <w:color w:val="000000"/>
        </w:rPr>
        <w:t xml:space="preserve">these </w:t>
      </w:r>
      <w:r w:rsidRPr="0056040E">
        <w:rPr>
          <w:rFonts w:ascii="Open Sans" w:hAnsi="Open Sans" w:cs="Open Sans"/>
          <w:color w:val="000000"/>
        </w:rPr>
        <w:t xml:space="preserve">white wealthy landlords are not passing </w:t>
      </w:r>
      <w:r w:rsidR="2115CCB8">
        <w:rPr>
          <w:rFonts w:ascii="Open Sans" w:hAnsi="Open Sans" w:cs="Open Sans"/>
          <w:color w:val="000000"/>
        </w:rPr>
        <w:t>the</w:t>
      </w:r>
      <w:r w:rsidRPr="0056040E">
        <w:rPr>
          <w:rFonts w:ascii="Open Sans" w:hAnsi="Open Sans" w:cs="Open Sans"/>
          <w:color w:val="000000"/>
        </w:rPr>
        <w:t xml:space="preserve"> economic benefits </w:t>
      </w:r>
      <w:r w:rsidR="24E293D9">
        <w:rPr>
          <w:rFonts w:ascii="Open Sans" w:hAnsi="Open Sans" w:cs="Open Sans"/>
          <w:color w:val="000000"/>
        </w:rPr>
        <w:t xml:space="preserve">they receive from the tax code </w:t>
      </w:r>
      <w:r w:rsidRPr="0056040E">
        <w:rPr>
          <w:rFonts w:ascii="Open Sans" w:hAnsi="Open Sans" w:cs="Open Sans"/>
          <w:color w:val="000000"/>
        </w:rPr>
        <w:t xml:space="preserve">on to renters. </w:t>
      </w:r>
    </w:p>
    <w:p w14:paraId="41BBF128" w14:textId="5CF2A152" w:rsidR="59123555" w:rsidRDefault="59123555" w:rsidP="59123555">
      <w:pPr>
        <w:spacing w:line="276" w:lineRule="auto"/>
      </w:pPr>
      <w:r>
        <w:rPr>
          <w:noProof/>
        </w:rPr>
        <w:lastRenderedPageBreak/>
        <w:drawing>
          <wp:inline distT="0" distB="0" distL="0" distR="0" wp14:anchorId="354B6AB3" wp14:editId="67D9F007">
            <wp:extent cx="5702884" cy="3362325"/>
            <wp:effectExtent l="0" t="0" r="0" b="0"/>
            <wp:docPr id="946206148" name="Picture 946206148" descr="A graph showing that hosueholds with incomes under $30,000, Black, Hispanic, and Asian households are all disproportionately rent burdened. Around 75% of low income households are moderately or severely rent burdened." title="Cost burdens are widespread among renters, lower-income households, and households of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702884" cy="3362325"/>
                    </a:xfrm>
                    <a:prstGeom prst="rect">
                      <a:avLst/>
                    </a:prstGeom>
                  </pic:spPr>
                </pic:pic>
              </a:graphicData>
            </a:graphic>
          </wp:inline>
        </w:drawing>
      </w:r>
    </w:p>
    <w:p w14:paraId="3F34B777" w14:textId="47BB8400" w:rsidR="59123555" w:rsidRDefault="59123555" w:rsidP="0BA05A84">
      <w:pPr>
        <w:spacing w:line="276" w:lineRule="auto"/>
        <w:rPr>
          <w:rFonts w:ascii="Open Sans" w:eastAsia="Open Sans" w:hAnsi="Open Sans" w:cs="Open Sans"/>
          <w:sz w:val="16"/>
          <w:szCs w:val="16"/>
        </w:rPr>
      </w:pPr>
      <w:r w:rsidRPr="0BA05A84">
        <w:rPr>
          <w:rFonts w:ascii="Open Sans" w:eastAsia="Open Sans" w:hAnsi="Open Sans" w:cs="Open Sans"/>
          <w:sz w:val="16"/>
          <w:szCs w:val="16"/>
        </w:rPr>
        <w:t>Source: https://www.jchs.harvard.edu/sites/default/files/reports/files/Harvard_JCHS_State_Nations_Housing_2022.pdf</w:t>
      </w:r>
    </w:p>
    <w:p w14:paraId="15D11625" w14:textId="77777777" w:rsidR="005C69E5" w:rsidRPr="0056040E" w:rsidRDefault="6C42BB03" w:rsidP="59123555">
      <w:pPr>
        <w:pBdr>
          <w:top w:val="nil"/>
          <w:left w:val="nil"/>
          <w:bottom w:val="nil"/>
          <w:right w:val="nil"/>
          <w:between w:val="nil"/>
        </w:pBdr>
        <w:spacing w:line="276" w:lineRule="auto"/>
        <w:rPr>
          <w:rFonts w:ascii="Open Sans" w:hAnsi="Open Sans" w:cs="Open Sans"/>
          <w:b/>
          <w:bCs/>
          <w:i/>
          <w:iCs/>
          <w:color w:val="111111"/>
        </w:rPr>
      </w:pPr>
      <w:r w:rsidRPr="59123555">
        <w:rPr>
          <w:rFonts w:ascii="Open Sans" w:hAnsi="Open Sans" w:cs="Open Sans"/>
          <w:b/>
          <w:bCs/>
          <w:i/>
          <w:iCs/>
          <w:color w:val="111111"/>
        </w:rPr>
        <w:t xml:space="preserve">A refundable tax credit for renters would be one more effective tool in addressing housing affordability and lifting households out of poverty. </w:t>
      </w:r>
    </w:p>
    <w:p w14:paraId="114B47B6" w14:textId="56E10788" w:rsidR="005C69E5" w:rsidRPr="0056040E" w:rsidRDefault="6C42BB03" w:rsidP="59123555">
      <w:pPr>
        <w:spacing w:line="276" w:lineRule="auto"/>
        <w:rPr>
          <w:rFonts w:ascii="Open Sans" w:hAnsi="Open Sans" w:cs="Open Sans"/>
        </w:rPr>
      </w:pPr>
      <w:r w:rsidRPr="0056040E">
        <w:rPr>
          <w:rFonts w:ascii="Open Sans" w:hAnsi="Open Sans" w:cs="Open Sans"/>
          <w:color w:val="000000"/>
        </w:rPr>
        <w:t>“Refundable” tax credits can be effective in lifting vulnerable individuals</w:t>
      </w:r>
      <w:r w:rsidR="7FB5DA9F">
        <w:rPr>
          <w:rFonts w:ascii="Open Sans" w:hAnsi="Open Sans" w:cs="Open Sans"/>
          <w:color w:val="000000"/>
        </w:rPr>
        <w:t xml:space="preserve"> </w:t>
      </w:r>
      <w:r w:rsidR="7FB5DA9F" w:rsidRPr="0056040E">
        <w:rPr>
          <w:rFonts w:ascii="Open Sans" w:hAnsi="Open Sans" w:cs="Open Sans"/>
          <w:color w:val="000000"/>
        </w:rPr>
        <w:t>out of poverty</w:t>
      </w:r>
      <w:r w:rsidRPr="0056040E">
        <w:rPr>
          <w:rFonts w:ascii="Open Sans" w:hAnsi="Open Sans" w:cs="Open Sans"/>
          <w:color w:val="000000"/>
        </w:rPr>
        <w:t>, especially those in households with very low or no income.</w:t>
      </w:r>
      <w:r w:rsidR="005C69E5" w:rsidRPr="0056040E">
        <w:rPr>
          <w:rFonts w:ascii="Open Sans" w:hAnsi="Open Sans" w:cs="Open Sans"/>
          <w:color w:val="000000"/>
          <w:vertAlign w:val="superscript"/>
        </w:rPr>
        <w:endnoteReference w:id="45"/>
      </w:r>
      <w:r w:rsidRPr="0056040E">
        <w:rPr>
          <w:rFonts w:ascii="Open Sans" w:hAnsi="Open Sans" w:cs="Open Sans"/>
          <w:color w:val="000000"/>
        </w:rPr>
        <w:t xml:space="preserve"> A refundable tax credit can be designed so that it provides immediate cash benefits even to families </w:t>
      </w:r>
      <w:r w:rsidR="1D85FC45">
        <w:rPr>
          <w:rFonts w:ascii="Open Sans" w:hAnsi="Open Sans" w:cs="Open Sans"/>
          <w:color w:val="000000"/>
        </w:rPr>
        <w:t>who are not required to file a tax return (because their income is too low)</w:t>
      </w:r>
      <w:r w:rsidRPr="0056040E">
        <w:rPr>
          <w:rFonts w:ascii="Open Sans" w:hAnsi="Open Sans" w:cs="Open Sans"/>
          <w:color w:val="000000"/>
        </w:rPr>
        <w:t xml:space="preserve">. If a </w:t>
      </w:r>
      <w:proofErr w:type="gramStart"/>
      <w:r w:rsidRPr="0056040E">
        <w:rPr>
          <w:rFonts w:ascii="Open Sans" w:hAnsi="Open Sans" w:cs="Open Sans"/>
          <w:color w:val="000000"/>
        </w:rPr>
        <w:t>household‘</w:t>
      </w:r>
      <w:proofErr w:type="gramEnd"/>
      <w:r w:rsidRPr="0056040E">
        <w:rPr>
          <w:rFonts w:ascii="Open Sans" w:hAnsi="Open Sans" w:cs="Open Sans"/>
          <w:color w:val="000000"/>
        </w:rPr>
        <w:t xml:space="preserve">s refundable tax credit is larger than the amount of income taxes they owe, they receive a refund for the difference. This approach returns money into people's hands, </w:t>
      </w:r>
      <w:r w:rsidR="49EA090B">
        <w:rPr>
          <w:rFonts w:ascii="Open Sans" w:hAnsi="Open Sans" w:cs="Open Sans"/>
          <w:color w:val="000000"/>
        </w:rPr>
        <w:t xml:space="preserve">giving </w:t>
      </w:r>
      <w:r w:rsidRPr="0056040E">
        <w:rPr>
          <w:rFonts w:ascii="Open Sans" w:hAnsi="Open Sans" w:cs="Open Sans"/>
          <w:color w:val="000000"/>
        </w:rPr>
        <w:t xml:space="preserve">them the choice and flexibility to make pressing fiscal decisions efficiently. By comparison, if the tax credit is not refundable, it provides </w:t>
      </w:r>
      <w:r w:rsidR="3BD176A7">
        <w:rPr>
          <w:rFonts w:ascii="Open Sans" w:hAnsi="Open Sans" w:cs="Open Sans"/>
          <w:color w:val="000000"/>
        </w:rPr>
        <w:t>no</w:t>
      </w:r>
      <w:r w:rsidRPr="0056040E">
        <w:rPr>
          <w:rFonts w:ascii="Open Sans" w:hAnsi="Open Sans" w:cs="Open Sans"/>
          <w:color w:val="000000"/>
        </w:rPr>
        <w:t xml:space="preserve"> benefit to </w:t>
      </w:r>
      <w:r w:rsidR="2A8CEBA7">
        <w:rPr>
          <w:rFonts w:ascii="Open Sans" w:hAnsi="Open Sans" w:cs="Open Sans"/>
          <w:color w:val="000000"/>
        </w:rPr>
        <w:t xml:space="preserve">households </w:t>
      </w:r>
      <w:r w:rsidR="7FA429D9">
        <w:rPr>
          <w:rFonts w:ascii="Open Sans" w:hAnsi="Open Sans" w:cs="Open Sans"/>
          <w:color w:val="000000"/>
        </w:rPr>
        <w:t>that</w:t>
      </w:r>
      <w:r w:rsidR="2A8CEBA7">
        <w:rPr>
          <w:rFonts w:ascii="Open Sans" w:hAnsi="Open Sans" w:cs="Open Sans"/>
          <w:color w:val="000000"/>
        </w:rPr>
        <w:t xml:space="preserve"> have </w:t>
      </w:r>
      <w:r w:rsidR="7FA429D9">
        <w:rPr>
          <w:rFonts w:ascii="Open Sans" w:hAnsi="Open Sans" w:cs="Open Sans"/>
          <w:color w:val="000000"/>
        </w:rPr>
        <w:t>little or no tax liability</w:t>
      </w:r>
      <w:r w:rsidRPr="0056040E">
        <w:rPr>
          <w:rFonts w:ascii="Open Sans" w:hAnsi="Open Sans" w:cs="Open Sans"/>
          <w:color w:val="000000"/>
        </w:rPr>
        <w:t xml:space="preserve">. As with deductions, non-refundable tax credits are generally only beneficial to people with higher incomes. </w:t>
      </w:r>
    </w:p>
    <w:p w14:paraId="100AC26C" w14:textId="284D043E" w:rsidR="005C69E5" w:rsidRPr="0056040E" w:rsidRDefault="6C42BB03" w:rsidP="59123555">
      <w:pPr>
        <w:spacing w:line="276" w:lineRule="auto"/>
        <w:rPr>
          <w:rFonts w:ascii="Open Sans" w:hAnsi="Open Sans" w:cs="Open Sans"/>
        </w:rPr>
      </w:pPr>
      <w:r w:rsidRPr="0056040E">
        <w:rPr>
          <w:rFonts w:ascii="Open Sans" w:hAnsi="Open Sans" w:cs="Open Sans"/>
          <w:color w:val="000000"/>
        </w:rPr>
        <w:t>The CTC and EITC boost household resources to pay for basic needs like housing, utilities, and food. Temporary enhancements to the CTC enacted in 2020 and 2021 cut child poverty in half in the United States. While most families with children qualified for the 2021 enhanced advanced monthly payments, full refundability of the CTC particularly benefitted marginalized low-income households and households of color who might not be required to file income tax returns. When those provisions expired at the end of 2021, child poverty rose by 41 percent.</w:t>
      </w:r>
      <w:r w:rsidR="005C69E5" w:rsidRPr="0056040E">
        <w:rPr>
          <w:rFonts w:ascii="Open Sans" w:hAnsi="Open Sans" w:cs="Open Sans"/>
          <w:color w:val="000000"/>
          <w:vertAlign w:val="superscript"/>
        </w:rPr>
        <w:endnoteReference w:id="46"/>
      </w:r>
      <w:r w:rsidRPr="0056040E">
        <w:rPr>
          <w:rFonts w:ascii="Open Sans" w:hAnsi="Open Sans" w:cs="Open Sans"/>
          <w:color w:val="000000"/>
        </w:rPr>
        <w:t xml:space="preserve"> </w:t>
      </w:r>
    </w:p>
    <w:p w14:paraId="07D170A5" w14:textId="56E71D01" w:rsidR="005C69E5" w:rsidRPr="0056040E" w:rsidRDefault="6C42BB03" w:rsidP="59123555">
      <w:pPr>
        <w:spacing w:line="276" w:lineRule="auto"/>
        <w:rPr>
          <w:rFonts w:ascii="Open Sans" w:hAnsi="Open Sans" w:cs="Open Sans"/>
          <w:color w:val="000000"/>
        </w:rPr>
      </w:pPr>
      <w:r w:rsidRPr="0056040E">
        <w:rPr>
          <w:rFonts w:ascii="Open Sans" w:hAnsi="Open Sans" w:cs="Open Sans"/>
          <w:color w:val="000000"/>
        </w:rPr>
        <w:lastRenderedPageBreak/>
        <w:t xml:space="preserve">As mentioned above, the federal government’s robust and rapid fiscal response to the pandemic demonstrated the enormous potential of tax </w:t>
      </w:r>
      <w:r w:rsidR="54BA8888">
        <w:rPr>
          <w:rFonts w:ascii="Open Sans" w:hAnsi="Open Sans" w:cs="Open Sans"/>
          <w:color w:val="000000"/>
        </w:rPr>
        <w:t>policy to lift</w:t>
      </w:r>
      <w:r w:rsidRPr="0056040E">
        <w:rPr>
          <w:rFonts w:ascii="Open Sans" w:hAnsi="Open Sans" w:cs="Open Sans"/>
          <w:color w:val="000000"/>
        </w:rPr>
        <w:t xml:space="preserve"> people out of poverty</w:t>
      </w:r>
      <w:r w:rsidR="0187013D">
        <w:rPr>
          <w:rFonts w:ascii="Open Sans" w:hAnsi="Open Sans" w:cs="Open Sans"/>
          <w:color w:val="000000"/>
        </w:rPr>
        <w:t xml:space="preserve">. And this response did so </w:t>
      </w:r>
      <w:r w:rsidRPr="0056040E">
        <w:rPr>
          <w:rFonts w:ascii="Open Sans" w:hAnsi="Open Sans" w:cs="Open Sans"/>
          <w:color w:val="000000"/>
        </w:rPr>
        <w:t>with little-to-no administrative overhead or burdensome compliance requirements.</w:t>
      </w:r>
      <w:r w:rsidR="005C69E5" w:rsidRPr="0056040E">
        <w:rPr>
          <w:rFonts w:ascii="Open Sans" w:hAnsi="Open Sans" w:cs="Open Sans"/>
          <w:color w:val="000000"/>
          <w:vertAlign w:val="superscript"/>
        </w:rPr>
        <w:endnoteReference w:id="47"/>
      </w:r>
      <w:r w:rsidRPr="0056040E">
        <w:rPr>
          <w:rFonts w:ascii="Open Sans" w:hAnsi="Open Sans" w:cs="Open Sans"/>
          <w:color w:val="000000"/>
        </w:rPr>
        <w:t xml:space="preserve"> Given the ability to target tax subsidies</w:t>
      </w:r>
      <w:r w:rsidR="7C36AF77">
        <w:rPr>
          <w:rFonts w:ascii="Open Sans" w:hAnsi="Open Sans" w:cs="Open Sans"/>
          <w:color w:val="000000"/>
        </w:rPr>
        <w:t xml:space="preserve"> directly to renters</w:t>
      </w:r>
      <w:r w:rsidRPr="0056040E">
        <w:rPr>
          <w:rFonts w:ascii="Open Sans" w:hAnsi="Open Sans" w:cs="Open Sans"/>
          <w:color w:val="000000"/>
        </w:rPr>
        <w:t xml:space="preserve">, landlords would not be able to discriminate the same way they do with tenants who use Housing Choice Vouchers or other similar types of housing subsidies. </w:t>
      </w:r>
    </w:p>
    <w:p w14:paraId="08DB2164" w14:textId="77777777" w:rsidR="005C69E5" w:rsidRPr="0056040E" w:rsidRDefault="6C42BB03" w:rsidP="59123555">
      <w:pPr>
        <w:pBdr>
          <w:top w:val="nil"/>
          <w:left w:val="nil"/>
          <w:bottom w:val="nil"/>
          <w:right w:val="nil"/>
          <w:between w:val="nil"/>
        </w:pBdr>
        <w:spacing w:line="276" w:lineRule="auto"/>
        <w:rPr>
          <w:rFonts w:ascii="Open Sans" w:hAnsi="Open Sans" w:cs="Open Sans"/>
          <w:b/>
          <w:bCs/>
          <w:i/>
          <w:iCs/>
          <w:color w:val="000000"/>
        </w:rPr>
      </w:pPr>
      <w:r w:rsidRPr="59123555">
        <w:rPr>
          <w:rFonts w:ascii="Open Sans" w:hAnsi="Open Sans" w:cs="Open Sans"/>
          <w:b/>
          <w:bCs/>
          <w:i/>
          <w:iCs/>
          <w:color w:val="000000" w:themeColor="text1"/>
        </w:rPr>
        <w:t>A renter’s tax credit helps achieve economic and housing justice for all.</w:t>
      </w:r>
    </w:p>
    <w:p w14:paraId="599CBCB0" w14:textId="11E5646F" w:rsidR="005C69E5" w:rsidRPr="0056040E" w:rsidRDefault="6C42BB03" w:rsidP="59123555">
      <w:pPr>
        <w:spacing w:line="276" w:lineRule="auto"/>
        <w:rPr>
          <w:rFonts w:ascii="Open Sans" w:hAnsi="Open Sans" w:cs="Open Sans"/>
          <w:color w:val="212529"/>
        </w:rPr>
      </w:pPr>
      <w:r w:rsidRPr="0056040E">
        <w:rPr>
          <w:rFonts w:ascii="Open Sans" w:hAnsi="Open Sans" w:cs="Open Sans"/>
          <w:color w:val="212529"/>
        </w:rPr>
        <w:t xml:space="preserve">Households of color </w:t>
      </w:r>
      <w:r w:rsidRPr="0056040E">
        <w:rPr>
          <w:rFonts w:ascii="Open Sans" w:hAnsi="Open Sans" w:cs="Open Sans"/>
        </w:rPr>
        <w:t>are more likely</w:t>
      </w:r>
      <w:r w:rsidR="005C69E5" w:rsidRPr="0056040E">
        <w:rPr>
          <w:rFonts w:ascii="Open Sans" w:hAnsi="Open Sans" w:cs="Open Sans"/>
          <w:color w:val="212529"/>
          <w:vertAlign w:val="superscript"/>
        </w:rPr>
        <w:endnoteReference w:id="48"/>
      </w:r>
      <w:r w:rsidRPr="0056040E">
        <w:rPr>
          <w:rFonts w:ascii="Open Sans" w:hAnsi="Open Sans" w:cs="Open Sans"/>
          <w:color w:val="212529"/>
        </w:rPr>
        <w:t xml:space="preserve"> than white households to be renters; and renters of color faced the greatest financial hardship during the pandemic, </w:t>
      </w:r>
      <w:r w:rsidRPr="0056040E">
        <w:rPr>
          <w:rFonts w:ascii="Open Sans" w:hAnsi="Open Sans" w:cs="Open Sans"/>
        </w:rPr>
        <w:t>with over one in seven falling behind in their rent payments</w:t>
      </w:r>
      <w:r w:rsidRPr="0056040E">
        <w:rPr>
          <w:rFonts w:ascii="Open Sans" w:hAnsi="Open Sans" w:cs="Open Sans"/>
          <w:color w:val="212529"/>
        </w:rPr>
        <w:t>.</w:t>
      </w:r>
      <w:r w:rsidR="005C69E5" w:rsidRPr="0056040E">
        <w:rPr>
          <w:rFonts w:ascii="Open Sans" w:hAnsi="Open Sans" w:cs="Open Sans"/>
          <w:color w:val="212529"/>
          <w:vertAlign w:val="superscript"/>
        </w:rPr>
        <w:endnoteReference w:id="49"/>
      </w:r>
      <w:r w:rsidRPr="0056040E">
        <w:rPr>
          <w:rFonts w:ascii="Open Sans" w:hAnsi="Open Sans" w:cs="Open Sans"/>
          <w:color w:val="212529"/>
        </w:rPr>
        <w:t xml:space="preserve"> The lack of fair and affordable housing in urban, suburban, and rural communities contributes to housing instability, evictions, and even homelessness, all of which disproportionate</w:t>
      </w:r>
      <w:r w:rsidR="0DD59EC9">
        <w:rPr>
          <w:rFonts w:ascii="Open Sans" w:hAnsi="Open Sans" w:cs="Open Sans"/>
          <w:color w:val="212529"/>
        </w:rPr>
        <w:t>ly</w:t>
      </w:r>
      <w:r w:rsidRPr="0056040E">
        <w:rPr>
          <w:rFonts w:ascii="Open Sans" w:hAnsi="Open Sans" w:cs="Open Sans"/>
          <w:color w:val="212529"/>
        </w:rPr>
        <w:t xml:space="preserve"> impact communities of color. The COVID-19 pandemic exacerbated these conditions, putting vulnerable communities at even greater risk of losing their homes when everyone was sheltering in place to prevent the spread of the virus.</w:t>
      </w:r>
      <w:r w:rsidR="005C69E5" w:rsidRPr="0056040E">
        <w:rPr>
          <w:rFonts w:ascii="Open Sans" w:hAnsi="Open Sans" w:cs="Open Sans"/>
          <w:color w:val="212529"/>
          <w:vertAlign w:val="superscript"/>
        </w:rPr>
        <w:endnoteReference w:id="50"/>
      </w:r>
      <w:r w:rsidRPr="0056040E">
        <w:rPr>
          <w:rFonts w:ascii="Open Sans" w:hAnsi="Open Sans" w:cs="Open Sans"/>
          <w:color w:val="212529"/>
        </w:rPr>
        <w:t xml:space="preserve"> </w:t>
      </w:r>
    </w:p>
    <w:p w14:paraId="6CFF9117" w14:textId="50E5165F" w:rsidR="005C69E5" w:rsidRPr="0056040E" w:rsidRDefault="6C42BB03" w:rsidP="59123555">
      <w:pPr>
        <w:spacing w:line="276" w:lineRule="auto"/>
        <w:rPr>
          <w:rFonts w:ascii="Open Sans" w:hAnsi="Open Sans" w:cs="Open Sans"/>
        </w:rPr>
      </w:pPr>
      <w:r w:rsidRPr="0056040E">
        <w:rPr>
          <w:rFonts w:ascii="Open Sans" w:hAnsi="Open Sans" w:cs="Open Sans"/>
          <w:color w:val="212529"/>
        </w:rPr>
        <w:t xml:space="preserve">Black and Latinx renters in general, and women in particular, are </w:t>
      </w:r>
      <w:r w:rsidR="3F4AD046">
        <w:rPr>
          <w:rFonts w:ascii="Open Sans" w:hAnsi="Open Sans" w:cs="Open Sans"/>
        </w:rPr>
        <w:t xml:space="preserve">more likely to </w:t>
      </w:r>
      <w:r w:rsidR="53600FFD">
        <w:rPr>
          <w:rFonts w:ascii="Open Sans" w:hAnsi="Open Sans" w:cs="Open Sans"/>
        </w:rPr>
        <w:t>face</w:t>
      </w:r>
      <w:r w:rsidRPr="0056040E">
        <w:rPr>
          <w:rFonts w:ascii="Open Sans" w:hAnsi="Open Sans" w:cs="Open Sans"/>
        </w:rPr>
        <w:t xml:space="preserve"> eviction threats, actual evictions, and exposure to the negative consequences of eviction like bad credit, homelessness, job loss, and depression.</w:t>
      </w:r>
      <w:r w:rsidR="005C69E5" w:rsidRPr="0056040E">
        <w:rPr>
          <w:rFonts w:ascii="Open Sans" w:hAnsi="Open Sans" w:cs="Open Sans"/>
          <w:color w:val="212529"/>
          <w:vertAlign w:val="superscript"/>
        </w:rPr>
        <w:endnoteReference w:id="51"/>
      </w:r>
      <w:r w:rsidRPr="0056040E">
        <w:rPr>
          <w:rFonts w:ascii="Open Sans" w:hAnsi="Open Sans" w:cs="Open Sans"/>
          <w:color w:val="212529"/>
        </w:rPr>
        <w:t xml:space="preserve"> From 2012 to 2016, Black individuals made up </w:t>
      </w:r>
      <w:r w:rsidRPr="0056040E">
        <w:rPr>
          <w:rFonts w:ascii="Open Sans" w:hAnsi="Open Sans" w:cs="Open Sans"/>
        </w:rPr>
        <w:t>19.9 percent of all adult renters but 32.7 percent of all defendants in eviction filings.</w:t>
      </w:r>
      <w:r w:rsidR="005C69E5" w:rsidRPr="0056040E">
        <w:rPr>
          <w:rFonts w:ascii="Open Sans" w:hAnsi="Open Sans" w:cs="Open Sans"/>
          <w:color w:val="212529"/>
          <w:vertAlign w:val="superscript"/>
        </w:rPr>
        <w:endnoteReference w:id="52"/>
      </w:r>
      <w:r w:rsidRPr="0056040E">
        <w:rPr>
          <w:rFonts w:ascii="Open Sans" w:hAnsi="Open Sans" w:cs="Open Sans"/>
          <w:color w:val="212529"/>
        </w:rPr>
        <w:t xml:space="preserve"> Black people are</w:t>
      </w:r>
      <w:r w:rsidR="695AEB51">
        <w:rPr>
          <w:rFonts w:ascii="Open Sans" w:hAnsi="Open Sans" w:cs="Open Sans"/>
          <w:color w:val="212529"/>
        </w:rPr>
        <w:t xml:space="preserve"> also</w:t>
      </w:r>
      <w:r w:rsidRPr="0056040E">
        <w:rPr>
          <w:rFonts w:ascii="Open Sans" w:hAnsi="Open Sans" w:cs="Open Sans"/>
          <w:color w:val="212529"/>
        </w:rPr>
        <w:t xml:space="preserve"> more likely to experience homelessness and to access shelters</w:t>
      </w:r>
      <w:r w:rsidR="1C1B5C2D">
        <w:rPr>
          <w:rFonts w:ascii="Open Sans" w:hAnsi="Open Sans" w:cs="Open Sans"/>
          <w:color w:val="212529"/>
        </w:rPr>
        <w:t>;</w:t>
      </w:r>
      <w:r w:rsidRPr="0056040E">
        <w:rPr>
          <w:rFonts w:ascii="Open Sans" w:hAnsi="Open Sans" w:cs="Open Sans"/>
          <w:color w:val="212529"/>
        </w:rPr>
        <w:t xml:space="preserve"> they make up 13 percent of the general population, but more than 40 percent of the homeless population. </w:t>
      </w:r>
      <w:r w:rsidR="005C69E5" w:rsidRPr="0056040E">
        <w:rPr>
          <w:rFonts w:ascii="Open Sans" w:hAnsi="Open Sans" w:cs="Open Sans"/>
          <w:color w:val="212529"/>
          <w:vertAlign w:val="superscript"/>
        </w:rPr>
        <w:endnoteReference w:id="53"/>
      </w:r>
      <w:r w:rsidRPr="0056040E">
        <w:rPr>
          <w:rFonts w:ascii="Open Sans" w:hAnsi="Open Sans" w:cs="Open Sans"/>
          <w:color w:val="212529"/>
        </w:rPr>
        <w:t xml:space="preserve">  These disparities extend to other communities in the United States as well – Native Hawaiians and Pacific Islanders currently have the highest rate of homelessness.</w:t>
      </w:r>
      <w:r w:rsidR="005C69E5" w:rsidRPr="0056040E">
        <w:rPr>
          <w:rFonts w:ascii="Open Sans" w:hAnsi="Open Sans" w:cs="Open Sans"/>
          <w:color w:val="212529"/>
          <w:vertAlign w:val="superscript"/>
        </w:rPr>
        <w:endnoteReference w:id="54"/>
      </w:r>
    </w:p>
    <w:p w14:paraId="6EA00DF1" w14:textId="6666EF96" w:rsidR="59123555" w:rsidRDefault="59123555" w:rsidP="59123555">
      <w:pPr>
        <w:spacing w:line="276" w:lineRule="auto"/>
      </w:pPr>
      <w:r>
        <w:rPr>
          <w:noProof/>
        </w:rPr>
        <w:lastRenderedPageBreak/>
        <w:drawing>
          <wp:inline distT="0" distB="0" distL="0" distR="0" wp14:anchorId="4D8F023E" wp14:editId="48EE895C">
            <wp:extent cx="5734052" cy="3261241"/>
            <wp:effectExtent l="0" t="0" r="0" b="0"/>
            <wp:docPr id="858267843" name="Picture 858267843" descr="A graph showing that Black and Hispanic homeowners have much lower median net wealth in 2019 than Asian and white households (Around $110,000 for Black households and $160,000 for Hispanic, compared to $300,00 for white and Asian. Renters have much lower median welaths for all races." title="Even if they own homes, Black and Hispanic households have significantly less wealth than white homeow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734052" cy="3261241"/>
                    </a:xfrm>
                    <a:prstGeom prst="rect">
                      <a:avLst/>
                    </a:prstGeom>
                  </pic:spPr>
                </pic:pic>
              </a:graphicData>
            </a:graphic>
          </wp:inline>
        </w:drawing>
      </w:r>
    </w:p>
    <w:p w14:paraId="5DA82EFE" w14:textId="176A150C" w:rsidR="59123555" w:rsidRDefault="59123555" w:rsidP="0BA05A84">
      <w:pPr>
        <w:spacing w:line="276" w:lineRule="auto"/>
        <w:rPr>
          <w:rFonts w:ascii="Open Sans" w:eastAsia="Open Sans" w:hAnsi="Open Sans" w:cs="Open Sans"/>
          <w:sz w:val="16"/>
          <w:szCs w:val="16"/>
        </w:rPr>
      </w:pPr>
      <w:r w:rsidRPr="0BA05A84">
        <w:rPr>
          <w:rFonts w:ascii="Open Sans" w:eastAsia="Open Sans" w:hAnsi="Open Sans" w:cs="Open Sans"/>
          <w:sz w:val="16"/>
          <w:szCs w:val="16"/>
        </w:rPr>
        <w:t>Source: https://www.jchs.harvard.edu/sites/default/files/reports/files/Harvard_JCHS_State_Nations_Housing_2022.pdf</w:t>
      </w:r>
    </w:p>
    <w:p w14:paraId="2249AC05" w14:textId="285568D3" w:rsidR="3CCE253A" w:rsidRDefault="6C42BB03" w:rsidP="59123555">
      <w:pPr>
        <w:spacing w:line="276" w:lineRule="auto"/>
        <w:rPr>
          <w:rFonts w:ascii="Open Sans" w:eastAsia="Open Sans" w:hAnsi="Open Sans" w:cs="Open Sans"/>
        </w:rPr>
      </w:pPr>
      <w:r w:rsidRPr="0056040E">
        <w:rPr>
          <w:rFonts w:ascii="Open Sans" w:hAnsi="Open Sans" w:cs="Open Sans"/>
          <w:color w:val="212529"/>
        </w:rPr>
        <w:t xml:space="preserve">Further compounding this housing injustice is economic injustice. Federal, state and local tax </w:t>
      </w:r>
      <w:r w:rsidR="77C4BC1C">
        <w:rPr>
          <w:rFonts w:ascii="Open Sans" w:hAnsi="Open Sans" w:cs="Open Sans"/>
          <w:color w:val="212529"/>
        </w:rPr>
        <w:t>policies</w:t>
      </w:r>
      <w:r w:rsidR="77C4BC1C" w:rsidRPr="0056040E">
        <w:rPr>
          <w:rFonts w:ascii="Open Sans" w:hAnsi="Open Sans" w:cs="Open Sans"/>
          <w:color w:val="212529"/>
        </w:rPr>
        <w:t xml:space="preserve"> </w:t>
      </w:r>
      <w:r w:rsidRPr="0056040E">
        <w:rPr>
          <w:rFonts w:ascii="Open Sans" w:hAnsi="Open Sans" w:cs="Open Sans"/>
          <w:color w:val="212529"/>
        </w:rPr>
        <w:t>have systemic designs that were intentionally constructed to benefit white households and undermine wealth accumulation for households of color.</w:t>
      </w:r>
      <w:r w:rsidR="005C69E5" w:rsidRPr="0056040E">
        <w:rPr>
          <w:rFonts w:ascii="Open Sans" w:hAnsi="Open Sans" w:cs="Open Sans"/>
          <w:color w:val="212529"/>
          <w:vertAlign w:val="superscript"/>
        </w:rPr>
        <w:endnoteReference w:id="55"/>
      </w:r>
      <w:r w:rsidRPr="0056040E">
        <w:rPr>
          <w:rFonts w:ascii="Open Sans" w:hAnsi="Open Sans" w:cs="Open Sans"/>
          <w:color w:val="212529"/>
        </w:rPr>
        <w:t xml:space="preserve"> Federal tax housing subsidies are heavily skewed to high-income households and wealthy homeowners.</w:t>
      </w:r>
      <w:r w:rsidR="005C69E5" w:rsidRPr="0056040E">
        <w:rPr>
          <w:rFonts w:ascii="Open Sans" w:hAnsi="Open Sans" w:cs="Open Sans"/>
          <w:color w:val="212529"/>
          <w:vertAlign w:val="superscript"/>
        </w:rPr>
        <w:endnoteReference w:id="56"/>
      </w:r>
      <w:r w:rsidRPr="0056040E">
        <w:rPr>
          <w:rFonts w:ascii="Open Sans" w:hAnsi="Open Sans" w:cs="Open Sans"/>
          <w:color w:val="212529"/>
        </w:rPr>
        <w:t xml:space="preserve"> But homeownership remains out of reach for many people of color.</w:t>
      </w:r>
      <w:r w:rsidR="005C69E5" w:rsidRPr="0056040E">
        <w:rPr>
          <w:rFonts w:ascii="Open Sans" w:hAnsi="Open Sans" w:cs="Open Sans"/>
          <w:color w:val="212529"/>
          <w:vertAlign w:val="superscript"/>
        </w:rPr>
        <w:endnoteReference w:id="57"/>
      </w:r>
      <w:r w:rsidRPr="0056040E">
        <w:rPr>
          <w:rFonts w:ascii="Open Sans" w:hAnsi="Open Sans" w:cs="Open Sans"/>
          <w:color w:val="212529"/>
          <w:vertAlign w:val="superscript"/>
        </w:rPr>
        <w:t xml:space="preserve"> </w:t>
      </w:r>
      <w:r w:rsidRPr="0056040E">
        <w:rPr>
          <w:rFonts w:ascii="Open Sans" w:hAnsi="Open Sans" w:cs="Open Sans"/>
          <w:color w:val="212529"/>
        </w:rPr>
        <w:t>A refundable renter’s tax credit could provide renter households, many of whom are renters of color, with much needed housing stability, reducing their likelihood of getting evicted and experiencing homelessness - all without sacrificing other basic needs.</w:t>
      </w:r>
      <w:r w:rsidR="2EDF9671" w:rsidRPr="00941E80">
        <w:rPr>
          <w:rFonts w:ascii="Open Sans" w:eastAsia="Open Sans" w:hAnsi="Open Sans" w:cs="Open Sans"/>
        </w:rPr>
        <w:t xml:space="preserve"> </w:t>
      </w:r>
    </w:p>
    <w:p w14:paraId="6808E1B8" w14:textId="5F22BF97" w:rsidR="002249D3" w:rsidRPr="0056040E" w:rsidRDefault="46DAA6DF" w:rsidP="59123555">
      <w:pPr>
        <w:spacing w:line="276" w:lineRule="auto"/>
        <w:rPr>
          <w:rFonts w:ascii="Open Sans" w:eastAsia="Open Sans" w:hAnsi="Open Sans" w:cs="Open Sans"/>
        </w:rPr>
      </w:pPr>
      <w:r w:rsidRPr="0BA05A84">
        <w:rPr>
          <w:rFonts w:ascii="Open Sans" w:eastAsia="Open Sans" w:hAnsi="Open Sans" w:cs="Open Sans"/>
        </w:rPr>
        <w:t>The renter’s tax credit also address</w:t>
      </w:r>
      <w:r w:rsidR="0B711F23" w:rsidRPr="0BA05A84">
        <w:rPr>
          <w:rFonts w:ascii="Open Sans" w:eastAsia="Open Sans" w:hAnsi="Open Sans" w:cs="Open Sans"/>
        </w:rPr>
        <w:t>es</w:t>
      </w:r>
      <w:r w:rsidRPr="0BA05A84">
        <w:rPr>
          <w:rFonts w:ascii="Open Sans" w:eastAsia="Open Sans" w:hAnsi="Open Sans" w:cs="Open Sans"/>
        </w:rPr>
        <w:t xml:space="preserve"> the existing urban and rural divide. A renter’s tax credit would apply to urban and rural renters regardless of location, ensuring that everyone receives the benefits they need.</w:t>
      </w:r>
    </w:p>
    <w:p w14:paraId="38CE66D7" w14:textId="332EA04C" w:rsidR="4FF0E35E" w:rsidRDefault="6759B0E5" w:rsidP="59123555">
      <w:pPr>
        <w:spacing w:line="276" w:lineRule="auto"/>
        <w:rPr>
          <w:rFonts w:ascii="Open Sans" w:eastAsia="Open Sans" w:hAnsi="Open Sans" w:cs="Open Sans"/>
        </w:rPr>
      </w:pPr>
      <w:r w:rsidRPr="0BA05A84">
        <w:rPr>
          <w:rFonts w:ascii="Open Sans" w:eastAsia="Open Sans" w:hAnsi="Open Sans" w:cs="Open Sans"/>
        </w:rPr>
        <w:t>By alleviating rent-cost burdens, this credit can help people obtain stable, accessible, and affordable housing. Additionally, the credit allows people to access housing in the areas they choose, whether that’s close to family, community, jobs, public transportation, and/or crucial services. Such flexibility will also allow people with disabilities to find housing that is more accommodating</w:t>
      </w:r>
      <w:r w:rsidR="74D8DBE1" w:rsidRPr="0BA05A84">
        <w:rPr>
          <w:rFonts w:ascii="Open Sans" w:eastAsia="Open Sans" w:hAnsi="Open Sans" w:cs="Open Sans"/>
        </w:rPr>
        <w:t>,</w:t>
      </w:r>
      <w:r w:rsidRPr="0BA05A84">
        <w:rPr>
          <w:rFonts w:ascii="Open Sans" w:eastAsia="Open Sans" w:hAnsi="Open Sans" w:cs="Open Sans"/>
        </w:rPr>
        <w:t xml:space="preserve"> thereby fostering yet another layer of equity. </w:t>
      </w:r>
    </w:p>
    <w:p w14:paraId="05675695" w14:textId="6AB1BC86" w:rsidR="4FF0E35E" w:rsidRDefault="4FF0E35E" w:rsidP="3CCE253A">
      <w:pPr>
        <w:rPr>
          <w:rFonts w:ascii="Open Sans" w:eastAsia="Open Sans" w:hAnsi="Open Sans" w:cs="Open Sans"/>
        </w:rPr>
      </w:pPr>
    </w:p>
    <w:p w14:paraId="2144FA7A" w14:textId="328701C8" w:rsidR="4FF0E35E" w:rsidRPr="004B0D08" w:rsidRDefault="7C633B87" w:rsidP="3CCE253A">
      <w:pPr>
        <w:pStyle w:val="Heading1"/>
        <w:rPr>
          <w:rFonts w:ascii="Open Sans" w:eastAsia="Open Sans" w:hAnsi="Open Sans" w:cs="Open Sans"/>
          <w:b/>
          <w:bCs/>
          <w:color w:val="D50032"/>
          <w:sz w:val="28"/>
          <w:szCs w:val="28"/>
        </w:rPr>
      </w:pPr>
      <w:r w:rsidRPr="59123555">
        <w:rPr>
          <w:rFonts w:ascii="Open Sans" w:eastAsia="Open Sans" w:hAnsi="Open Sans" w:cs="Open Sans"/>
          <w:b/>
          <w:bCs/>
          <w:color w:val="D50032"/>
          <w:sz w:val="28"/>
          <w:szCs w:val="28"/>
        </w:rPr>
        <w:lastRenderedPageBreak/>
        <w:t>Further Readings</w:t>
      </w:r>
    </w:p>
    <w:p w14:paraId="18DC4A37" w14:textId="426FCF1F" w:rsidR="4FF0E35E" w:rsidRDefault="00000000" w:rsidP="3CCE253A">
      <w:pPr>
        <w:rPr>
          <w:rFonts w:ascii="Open Sans" w:eastAsia="Open Sans" w:hAnsi="Open Sans" w:cs="Open Sans"/>
        </w:rPr>
      </w:pPr>
      <w:hyperlink r:id="rId23">
        <w:r w:rsidR="4FF0E35E" w:rsidRPr="3CCE253A">
          <w:rPr>
            <w:rStyle w:val="Hyperlink"/>
            <w:rFonts w:ascii="Open Sans" w:eastAsia="Open Sans" w:hAnsi="Open Sans" w:cs="Open Sans"/>
          </w:rPr>
          <w:t>C</w:t>
        </w:r>
        <w:r w:rsidR="00BE1E02">
          <w:rPr>
            <w:rStyle w:val="Hyperlink"/>
            <w:rFonts w:ascii="Open Sans" w:eastAsia="Open Sans" w:hAnsi="Open Sans" w:cs="Open Sans"/>
          </w:rPr>
          <w:t xml:space="preserve">enter for </w:t>
        </w:r>
        <w:r w:rsidR="4FF0E35E" w:rsidRPr="3CCE253A">
          <w:rPr>
            <w:rStyle w:val="Hyperlink"/>
            <w:rFonts w:ascii="Open Sans" w:eastAsia="Open Sans" w:hAnsi="Open Sans" w:cs="Open Sans"/>
          </w:rPr>
          <w:t>L</w:t>
        </w:r>
        <w:r w:rsidR="00BE1E02">
          <w:rPr>
            <w:rStyle w:val="Hyperlink"/>
            <w:rFonts w:ascii="Open Sans" w:eastAsia="Open Sans" w:hAnsi="Open Sans" w:cs="Open Sans"/>
          </w:rPr>
          <w:t xml:space="preserve">aw and </w:t>
        </w:r>
        <w:r w:rsidR="4FF0E35E" w:rsidRPr="3CCE253A">
          <w:rPr>
            <w:rStyle w:val="Hyperlink"/>
            <w:rFonts w:ascii="Open Sans" w:eastAsia="Open Sans" w:hAnsi="Open Sans" w:cs="Open Sans"/>
          </w:rPr>
          <w:t>S</w:t>
        </w:r>
        <w:r w:rsidR="00BE1E02">
          <w:rPr>
            <w:rStyle w:val="Hyperlink"/>
            <w:rFonts w:ascii="Open Sans" w:eastAsia="Open Sans" w:hAnsi="Open Sans" w:cs="Open Sans"/>
          </w:rPr>
          <w:t xml:space="preserve">ocial </w:t>
        </w:r>
        <w:r w:rsidR="4FF0E35E" w:rsidRPr="3CCE253A">
          <w:rPr>
            <w:rStyle w:val="Hyperlink"/>
            <w:rFonts w:ascii="Open Sans" w:eastAsia="Open Sans" w:hAnsi="Open Sans" w:cs="Open Sans"/>
          </w:rPr>
          <w:t>P</w:t>
        </w:r>
        <w:r w:rsidR="00BE1E02">
          <w:rPr>
            <w:rStyle w:val="Hyperlink"/>
            <w:rFonts w:ascii="Open Sans" w:eastAsia="Open Sans" w:hAnsi="Open Sans" w:cs="Open Sans"/>
          </w:rPr>
          <w:t>olicy</w:t>
        </w:r>
        <w:r w:rsidR="4FF0E35E" w:rsidRPr="3CCE253A">
          <w:rPr>
            <w:rStyle w:val="Hyperlink"/>
            <w:rFonts w:ascii="Open Sans" w:eastAsia="Open Sans" w:hAnsi="Open Sans" w:cs="Open Sans"/>
          </w:rPr>
          <w:t xml:space="preserve"> - Principals for Federal Tax Policy</w:t>
        </w:r>
      </w:hyperlink>
    </w:p>
    <w:p w14:paraId="7B55AA89" w14:textId="57CCFFFF" w:rsidR="4FF0E35E" w:rsidRDefault="00000000" w:rsidP="3CCE253A">
      <w:pPr>
        <w:rPr>
          <w:rFonts w:ascii="Open Sans" w:eastAsia="Open Sans" w:hAnsi="Open Sans" w:cs="Open Sans"/>
        </w:rPr>
      </w:pPr>
      <w:hyperlink r:id="rId24">
        <w:r w:rsidR="4FF0E35E" w:rsidRPr="3CCE253A">
          <w:rPr>
            <w:rStyle w:val="Hyperlink"/>
            <w:rFonts w:ascii="Open Sans" w:eastAsia="Open Sans" w:hAnsi="Open Sans" w:cs="Open Sans"/>
          </w:rPr>
          <w:t>Prosperity Now - Guide to Using the Tax Code for Economic and Racial Equality</w:t>
        </w:r>
      </w:hyperlink>
    </w:p>
    <w:p w14:paraId="31531D11" w14:textId="0C86ADF5" w:rsidR="4FF0E35E" w:rsidRDefault="00000000" w:rsidP="3CCE253A">
      <w:pPr>
        <w:rPr>
          <w:rFonts w:ascii="Open Sans" w:eastAsia="Open Sans" w:hAnsi="Open Sans" w:cs="Open Sans"/>
        </w:rPr>
      </w:pPr>
      <w:hyperlink r:id="rId25">
        <w:r w:rsidR="4FF0E35E" w:rsidRPr="3CCE253A">
          <w:rPr>
            <w:rStyle w:val="Hyperlink"/>
            <w:rFonts w:ascii="Open Sans" w:eastAsia="Open Sans" w:hAnsi="Open Sans" w:cs="Open Sans"/>
          </w:rPr>
          <w:t>Roosevelt Institute – How the Tax Code Can Create a More Equal Economy</w:t>
        </w:r>
      </w:hyperlink>
    </w:p>
    <w:p w14:paraId="1E3340B8" w14:textId="0B6B9097" w:rsidR="4FF0E35E" w:rsidRDefault="00000000" w:rsidP="3CCE253A">
      <w:pPr>
        <w:rPr>
          <w:rFonts w:ascii="Open Sans" w:eastAsia="Open Sans" w:hAnsi="Open Sans" w:cs="Open Sans"/>
        </w:rPr>
      </w:pPr>
      <w:hyperlink r:id="rId26">
        <w:r w:rsidR="4FF0E35E" w:rsidRPr="0BA05A84">
          <w:rPr>
            <w:rStyle w:val="Hyperlink"/>
            <w:rFonts w:ascii="Open Sans" w:eastAsia="Open Sans" w:hAnsi="Open Sans" w:cs="Open Sans"/>
          </w:rPr>
          <w:t>N</w:t>
        </w:r>
        <w:r w:rsidR="00BE1E02" w:rsidRPr="0BA05A84">
          <w:rPr>
            <w:rStyle w:val="Hyperlink"/>
            <w:rFonts w:ascii="Open Sans" w:eastAsia="Open Sans" w:hAnsi="Open Sans" w:cs="Open Sans"/>
          </w:rPr>
          <w:t xml:space="preserve">ational </w:t>
        </w:r>
        <w:r w:rsidR="4FF0E35E" w:rsidRPr="0BA05A84">
          <w:rPr>
            <w:rStyle w:val="Hyperlink"/>
            <w:rFonts w:ascii="Open Sans" w:eastAsia="Open Sans" w:hAnsi="Open Sans" w:cs="Open Sans"/>
          </w:rPr>
          <w:t>W</w:t>
        </w:r>
        <w:r w:rsidR="00BE1E02" w:rsidRPr="0BA05A84">
          <w:rPr>
            <w:rStyle w:val="Hyperlink"/>
            <w:rFonts w:ascii="Open Sans" w:eastAsia="Open Sans" w:hAnsi="Open Sans" w:cs="Open Sans"/>
          </w:rPr>
          <w:t xml:space="preserve">omen’s </w:t>
        </w:r>
        <w:r w:rsidR="4FF0E35E" w:rsidRPr="0BA05A84">
          <w:rPr>
            <w:rStyle w:val="Hyperlink"/>
            <w:rFonts w:ascii="Open Sans" w:eastAsia="Open Sans" w:hAnsi="Open Sans" w:cs="Open Sans"/>
          </w:rPr>
          <w:t>L</w:t>
        </w:r>
        <w:r w:rsidR="00BE1E02" w:rsidRPr="0BA05A84">
          <w:rPr>
            <w:rStyle w:val="Hyperlink"/>
            <w:rFonts w:ascii="Open Sans" w:eastAsia="Open Sans" w:hAnsi="Open Sans" w:cs="Open Sans"/>
          </w:rPr>
          <w:t xml:space="preserve">aw </w:t>
        </w:r>
        <w:r w:rsidR="4FF0E35E" w:rsidRPr="0BA05A84">
          <w:rPr>
            <w:rStyle w:val="Hyperlink"/>
            <w:rFonts w:ascii="Open Sans" w:eastAsia="Open Sans" w:hAnsi="Open Sans" w:cs="Open Sans"/>
          </w:rPr>
          <w:t>C</w:t>
        </w:r>
        <w:r w:rsidR="00BE1E02" w:rsidRPr="0BA05A84">
          <w:rPr>
            <w:rStyle w:val="Hyperlink"/>
            <w:rFonts w:ascii="Open Sans" w:eastAsia="Open Sans" w:hAnsi="Open Sans" w:cs="Open Sans"/>
          </w:rPr>
          <w:t>enter</w:t>
        </w:r>
        <w:r w:rsidR="4FF0E35E" w:rsidRPr="0BA05A84">
          <w:rPr>
            <w:rStyle w:val="Hyperlink"/>
            <w:rFonts w:ascii="Open Sans" w:eastAsia="Open Sans" w:hAnsi="Open Sans" w:cs="Open Sans"/>
          </w:rPr>
          <w:t xml:space="preserve"> – A Tax Code for the Rest of Us</w:t>
        </w:r>
      </w:hyperlink>
    </w:p>
    <w:p w14:paraId="22F9FCAB" w14:textId="1BA1A07C" w:rsidR="0BA05A84" w:rsidRDefault="00000000" w:rsidP="0BA05A84">
      <w:pPr>
        <w:rPr>
          <w:rFonts w:ascii="Open Sans" w:eastAsia="Open Sans" w:hAnsi="Open Sans" w:cs="Open Sans"/>
        </w:rPr>
      </w:pPr>
      <w:hyperlink r:id="rId27">
        <w:r w:rsidR="0BA05A84" w:rsidRPr="0BA05A84">
          <w:rPr>
            <w:rStyle w:val="Hyperlink"/>
            <w:rFonts w:ascii="Open Sans" w:eastAsia="Open Sans" w:hAnsi="Open Sans" w:cs="Open Sans"/>
          </w:rPr>
          <w:t>Brookings - Funding our nation’s priorities: Reforming the tax code’s advantageous treatment of the wealthy</w:t>
        </w:r>
      </w:hyperlink>
    </w:p>
    <w:p w14:paraId="6122DA2E" w14:textId="482CC150" w:rsidR="14009EB9" w:rsidRDefault="14009EB9" w:rsidP="3CCE253A">
      <w:pPr>
        <w:rPr>
          <w:rFonts w:ascii="Open Sans" w:eastAsia="Open Sans" w:hAnsi="Open Sans" w:cs="Open Sans"/>
        </w:rPr>
      </w:pPr>
    </w:p>
    <w:p w14:paraId="40FCC949" w14:textId="12C8FCDD" w:rsidR="14009EB9" w:rsidRDefault="14009EB9" w:rsidP="3CCE253A">
      <w:pPr>
        <w:rPr>
          <w:rFonts w:ascii="Open Sans" w:eastAsia="Open Sans" w:hAnsi="Open Sans" w:cs="Open Sans"/>
        </w:rPr>
      </w:pPr>
    </w:p>
    <w:sectPr w:rsidR="14009EB9">
      <w:headerReference w:type="default" r:id="rId28"/>
      <w:footerReference w:type="default" r:id="rId2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dR="00A62124" w:rsidRDefault="00A62124" w:rsidP="00BB04A1">
      <w:pPr>
        <w:spacing w:after="0" w:line="240" w:lineRule="auto"/>
      </w:pPr>
      <w:r>
        <w:separator/>
      </w:r>
    </w:p>
  </w:endnote>
  <w:endnote w:type="continuationSeparator" w:id="0">
    <w:p w14:paraId="47F8E530" w14:textId="77777777" w:rsidR="00A62124" w:rsidRDefault="00A62124" w:rsidP="00BB04A1">
      <w:pPr>
        <w:spacing w:after="0" w:line="240" w:lineRule="auto"/>
      </w:pPr>
      <w:r>
        <w:continuationSeparator/>
      </w:r>
    </w:p>
  </w:endnote>
  <w:endnote w:type="continuationNotice" w:id="1">
    <w:p w14:paraId="0C7ADF11" w14:textId="77777777" w:rsidR="00A62124" w:rsidRDefault="00A62124">
      <w:pPr>
        <w:spacing w:after="0" w:line="240" w:lineRule="auto"/>
      </w:pPr>
    </w:p>
  </w:endnote>
  <w:endnote w:id="2">
    <w:p w14:paraId="5A0FFC10" w14:textId="7D954A4B" w:rsidR="008B073D" w:rsidRPr="0088217C" w:rsidRDefault="008B073D">
      <w:pPr>
        <w:pStyle w:val="EndnoteText"/>
        <w:rPr>
          <w:rFonts w:ascii="Open Sans" w:hAnsi="Open Sans" w:cs="Open Sans"/>
          <w:sz w:val="16"/>
          <w:szCs w:val="16"/>
        </w:rPr>
      </w:pPr>
      <w:r w:rsidRPr="0088217C">
        <w:rPr>
          <w:rStyle w:val="EndnoteReference"/>
          <w:rFonts w:ascii="Open Sans" w:hAnsi="Open Sans" w:cs="Open Sans"/>
          <w:sz w:val="16"/>
          <w:szCs w:val="16"/>
        </w:rPr>
        <w:endnoteRef/>
      </w:r>
      <w:r w:rsidRPr="0088217C">
        <w:rPr>
          <w:rFonts w:ascii="Open Sans" w:hAnsi="Open Sans" w:cs="Open Sans"/>
          <w:sz w:val="16"/>
          <w:szCs w:val="16"/>
        </w:rPr>
        <w:t xml:space="preserve"> </w:t>
      </w:r>
      <w:r w:rsidR="00FF10CD" w:rsidRPr="0088217C">
        <w:rPr>
          <w:rFonts w:ascii="Open Sans" w:hAnsi="Open Sans" w:cs="Open Sans"/>
          <w:sz w:val="16"/>
          <w:szCs w:val="16"/>
        </w:rPr>
        <w:t xml:space="preserve">University of California, Berkeley, </w:t>
      </w:r>
      <w:r w:rsidR="00FD0B91" w:rsidRPr="0088217C">
        <w:rPr>
          <w:rFonts w:ascii="Open Sans" w:hAnsi="Open Sans" w:cs="Open Sans"/>
          <w:sz w:val="16"/>
          <w:szCs w:val="16"/>
        </w:rPr>
        <w:t xml:space="preserve">Fall 2018 Journal: Mortgage Interest Deduction and the Racial Wealth Gap(August 2018), available at </w:t>
      </w:r>
      <w:r w:rsidR="00FF10CD" w:rsidRPr="0088217C">
        <w:rPr>
          <w:rFonts w:ascii="Open Sans" w:hAnsi="Open Sans" w:cs="Open Sans"/>
          <w:sz w:val="16"/>
          <w:szCs w:val="16"/>
        </w:rPr>
        <w:t>https://bppj.berkeley.edu/2018/08/23/mortgage-interest-deduction-and-the-racial-wealth-gap/</w:t>
      </w:r>
    </w:p>
  </w:endnote>
  <w:endnote w:id="3">
    <w:p w14:paraId="63F33C9B" w14:textId="778D7C47" w:rsidR="007C2FFD" w:rsidRPr="0088217C" w:rsidRDefault="007C2FFD">
      <w:pPr>
        <w:pStyle w:val="EndnoteText"/>
        <w:rPr>
          <w:rFonts w:ascii="Open Sans" w:hAnsi="Open Sans" w:cs="Open Sans"/>
          <w:sz w:val="16"/>
          <w:szCs w:val="16"/>
        </w:rPr>
      </w:pPr>
      <w:r w:rsidRPr="0088217C">
        <w:rPr>
          <w:rStyle w:val="EndnoteReference"/>
          <w:rFonts w:ascii="Open Sans" w:hAnsi="Open Sans" w:cs="Open Sans"/>
          <w:sz w:val="16"/>
          <w:szCs w:val="16"/>
        </w:rPr>
        <w:endnoteRef/>
      </w:r>
      <w:r w:rsidRPr="0088217C">
        <w:rPr>
          <w:rFonts w:ascii="Open Sans" w:hAnsi="Open Sans" w:cs="Open Sans"/>
          <w:sz w:val="16"/>
          <w:szCs w:val="16"/>
        </w:rPr>
        <w:t xml:space="preserve"> </w:t>
      </w:r>
      <w:r w:rsidR="00B23F86" w:rsidRPr="0088217C">
        <w:rPr>
          <w:rFonts w:ascii="Open Sans" w:hAnsi="Open Sans" w:cs="Open Sans"/>
          <w:sz w:val="16"/>
          <w:szCs w:val="16"/>
        </w:rPr>
        <w:t>The Effects of the Rent Burden on Low Income Families (March 2018), available at https://www.bls.gov/opub/mlr/2018/beyond-bls/the-effects-of-the-rent-burden-on-low-income-families.htm.</w:t>
      </w:r>
    </w:p>
  </w:endnote>
  <w:endnote w:id="4">
    <w:p w14:paraId="76415EC3" w14:textId="37A5E355" w:rsidR="00C11F6A" w:rsidRPr="0088217C" w:rsidRDefault="00C11F6A">
      <w:pPr>
        <w:pStyle w:val="EndnoteText"/>
        <w:rPr>
          <w:rFonts w:ascii="Open Sans" w:hAnsi="Open Sans" w:cs="Open Sans"/>
          <w:sz w:val="16"/>
          <w:szCs w:val="16"/>
        </w:rPr>
      </w:pPr>
      <w:r w:rsidRPr="0088217C">
        <w:rPr>
          <w:rStyle w:val="EndnoteReference"/>
          <w:rFonts w:ascii="Open Sans" w:hAnsi="Open Sans" w:cs="Open Sans"/>
          <w:sz w:val="16"/>
          <w:szCs w:val="16"/>
        </w:rPr>
        <w:endnoteRef/>
      </w:r>
      <w:r w:rsidRPr="0088217C">
        <w:rPr>
          <w:rFonts w:ascii="Open Sans" w:hAnsi="Open Sans" w:cs="Open Sans"/>
          <w:sz w:val="16"/>
          <w:szCs w:val="16"/>
        </w:rPr>
        <w:t xml:space="preserve"> </w:t>
      </w:r>
      <w:r w:rsidR="00A0170C" w:rsidRPr="0088217C">
        <w:rPr>
          <w:rFonts w:ascii="Open Sans" w:hAnsi="Open Sans" w:cs="Open Sans"/>
          <w:sz w:val="16"/>
          <w:szCs w:val="16"/>
        </w:rPr>
        <w:t xml:space="preserve">See generally, </w:t>
      </w:r>
      <w:r w:rsidRPr="0088217C">
        <w:rPr>
          <w:rFonts w:ascii="Open Sans" w:hAnsi="Open Sans" w:cs="Open Sans"/>
          <w:sz w:val="16"/>
          <w:szCs w:val="16"/>
        </w:rPr>
        <w:t xml:space="preserve">National Low Income Housing Coalition, Out of Reach, </w:t>
      </w:r>
      <w:r w:rsidR="00A0170C" w:rsidRPr="0088217C">
        <w:rPr>
          <w:rFonts w:ascii="Open Sans" w:hAnsi="Open Sans" w:cs="Open Sans"/>
          <w:sz w:val="16"/>
          <w:szCs w:val="16"/>
        </w:rPr>
        <w:t>https://nlihc.org/oor.</w:t>
      </w:r>
    </w:p>
  </w:endnote>
  <w:endnote w:id="5">
    <w:p w14:paraId="737F0BC4" w14:textId="6BF20F7B" w:rsidR="00A0170C" w:rsidRDefault="00A0170C">
      <w:pPr>
        <w:pStyle w:val="EndnoteText"/>
      </w:pPr>
      <w:r w:rsidRPr="0088217C">
        <w:rPr>
          <w:rStyle w:val="EndnoteReference"/>
          <w:rFonts w:ascii="Open Sans" w:hAnsi="Open Sans" w:cs="Open Sans"/>
          <w:sz w:val="16"/>
          <w:szCs w:val="16"/>
        </w:rPr>
        <w:endnoteRef/>
      </w:r>
      <w:r w:rsidRPr="0088217C">
        <w:rPr>
          <w:rFonts w:ascii="Open Sans" w:hAnsi="Open Sans" w:cs="Open Sans"/>
          <w:sz w:val="16"/>
          <w:szCs w:val="16"/>
        </w:rPr>
        <w:t xml:space="preserve"> </w:t>
      </w:r>
      <w:r w:rsidR="006664AB" w:rsidRPr="0088217C">
        <w:rPr>
          <w:rFonts w:ascii="Open Sans" w:hAnsi="Open Sans" w:cs="Open Sans"/>
          <w:sz w:val="16"/>
          <w:szCs w:val="16"/>
        </w:rPr>
        <w:t xml:space="preserve">Harvard University, Joint Center for Housing Studies, </w:t>
      </w:r>
      <w:r w:rsidR="001106EB" w:rsidRPr="0088217C">
        <w:rPr>
          <w:rFonts w:ascii="Open Sans" w:hAnsi="Open Sans" w:cs="Open Sans"/>
          <w:sz w:val="16"/>
          <w:szCs w:val="16"/>
        </w:rPr>
        <w:t xml:space="preserve">“The Rent Eats First: Rental Housing Unaffordability in the United States” (February 2022) </w:t>
      </w:r>
      <w:r w:rsidR="006664AB" w:rsidRPr="0088217C">
        <w:rPr>
          <w:rFonts w:ascii="Open Sans" w:hAnsi="Open Sans" w:cs="Open Sans"/>
          <w:sz w:val="16"/>
          <w:szCs w:val="16"/>
        </w:rPr>
        <w:t>https://www.jchs.harvard.edu/research-areas/journal-article/rent-eats-first-rental-housing-unaffordability-united-states.</w:t>
      </w:r>
    </w:p>
  </w:endnote>
  <w:endnote w:id="6">
    <w:p w14:paraId="1A656BA9" w14:textId="569FF935" w:rsidR="59123555" w:rsidRDefault="59123555" w:rsidP="59123555">
      <w:pPr>
        <w:spacing w:after="0" w:line="240" w:lineRule="auto"/>
        <w:rPr>
          <w:rFonts w:ascii="Open Sans" w:hAnsi="Open Sans" w:cs="Open Sans"/>
          <w:color w:val="000000" w:themeColor="text1"/>
          <w:sz w:val="16"/>
          <w:szCs w:val="16"/>
        </w:rPr>
      </w:pPr>
      <w:r w:rsidRPr="59123555">
        <w:rPr>
          <w:rStyle w:val="EndnoteReference"/>
          <w:rFonts w:ascii="Open Sans" w:hAnsi="Open Sans" w:cs="Open Sans"/>
          <w:sz w:val="16"/>
          <w:szCs w:val="16"/>
        </w:rPr>
        <w:endnoteRef/>
      </w:r>
      <w:r w:rsidR="0BA05A84" w:rsidRPr="59123555">
        <w:rPr>
          <w:rFonts w:ascii="Open Sans" w:hAnsi="Open Sans" w:cs="Open Sans"/>
          <w:color w:val="000000" w:themeColor="text1"/>
          <w:sz w:val="16"/>
          <w:szCs w:val="16"/>
        </w:rPr>
        <w:t xml:space="preserve"> </w:t>
      </w:r>
      <w:r w:rsidR="0BA05A84" w:rsidRPr="0BA05A84">
        <w:rPr>
          <w:rFonts w:ascii="Open Sans" w:hAnsi="Open Sans" w:cs="Open Sans"/>
          <w:i/>
          <w:iCs/>
          <w:color w:val="000000" w:themeColor="text1"/>
          <w:sz w:val="16"/>
          <w:szCs w:val="16"/>
        </w:rPr>
        <w:t>See also</w:t>
      </w:r>
      <w:r w:rsidR="0BA05A84" w:rsidRPr="59123555">
        <w:rPr>
          <w:rFonts w:ascii="Open Sans" w:hAnsi="Open Sans" w:cs="Open Sans"/>
          <w:color w:val="000000" w:themeColor="text1"/>
          <w:sz w:val="16"/>
          <w:szCs w:val="16"/>
        </w:rPr>
        <w:t xml:space="preserve">, Bold Proposals for Renters’ Tax Credits, National Low Income Housing Coalition, </w:t>
      </w:r>
      <w:hyperlink r:id="rId1">
        <w:r w:rsidR="0BA05A84" w:rsidRPr="0BA05A84">
          <w:rPr>
            <w:rStyle w:val="Hyperlink"/>
            <w:rFonts w:ascii="Open Sans" w:hAnsi="Open Sans" w:cs="Open Sans"/>
            <w:sz w:val="16"/>
            <w:szCs w:val="16"/>
          </w:rPr>
          <w:t>https://nlihc.org/sites/default/files/Factsheet_08022018.pdf</w:t>
        </w:r>
      </w:hyperlink>
      <w:r w:rsidR="0BA05A84" w:rsidRPr="0BA05A84">
        <w:rPr>
          <w:rFonts w:ascii="Open Sans" w:hAnsi="Open Sans" w:cs="Open Sans"/>
          <w:color w:val="000000" w:themeColor="text1"/>
          <w:sz w:val="16"/>
          <w:szCs w:val="16"/>
        </w:rPr>
        <w:t xml:space="preserve"> </w:t>
      </w:r>
      <w:r w:rsidR="0BA05A84" w:rsidRPr="59123555">
        <w:rPr>
          <w:rFonts w:ascii="Open Sans" w:hAnsi="Open Sans" w:cs="Open Sans"/>
          <w:color w:val="000000" w:themeColor="text1"/>
          <w:sz w:val="16"/>
          <w:szCs w:val="16"/>
        </w:rPr>
        <w:t xml:space="preserve">(comparison chart for more information about the differences between the two bills).  (comparison chart for more information about the differences between the two bills). </w:t>
      </w:r>
    </w:p>
  </w:endnote>
  <w:endnote w:id="7">
    <w:p w14:paraId="42070BDE" w14:textId="77777777" w:rsidR="59123555" w:rsidRDefault="59123555" w:rsidP="59123555">
      <w:pPr>
        <w:spacing w:after="0" w:line="240" w:lineRule="auto"/>
        <w:rPr>
          <w:color w:val="000000" w:themeColor="text1"/>
          <w:sz w:val="20"/>
          <w:szCs w:val="20"/>
        </w:rPr>
      </w:pPr>
      <w:r w:rsidRPr="59123555">
        <w:rPr>
          <w:rStyle w:val="EndnoteReference"/>
          <w:rFonts w:ascii="Open Sans" w:hAnsi="Open Sans" w:cs="Open Sans"/>
          <w:sz w:val="16"/>
          <w:szCs w:val="16"/>
        </w:rPr>
        <w:endnoteRef/>
      </w:r>
      <w:r w:rsidRPr="59123555">
        <w:rPr>
          <w:rFonts w:ascii="Open Sans" w:hAnsi="Open Sans" w:cs="Open Sans"/>
          <w:color w:val="000000" w:themeColor="text1"/>
          <w:sz w:val="16"/>
          <w:szCs w:val="16"/>
        </w:rPr>
        <w:t xml:space="preserve"> The FAIR Tax Credit, Terner Center for Housing Innovation at UC Berkeley, https://ternercenter.berkeley.edu/wp-content/uploads/pdfs/FAIR_Credit.pdf.</w:t>
      </w:r>
    </w:p>
  </w:endnote>
  <w:endnote w:id="8">
    <w:p w14:paraId="14D0EF24" w14:textId="77777777" w:rsidR="00294FCC" w:rsidRPr="005B054B" w:rsidRDefault="00294FCC" w:rsidP="00BB04A1">
      <w:pPr>
        <w:pBdr>
          <w:top w:val="nil"/>
          <w:left w:val="nil"/>
          <w:bottom w:val="nil"/>
          <w:right w:val="nil"/>
          <w:between w:val="nil"/>
        </w:pBdr>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See e.g., </w:t>
      </w:r>
      <w:r w:rsidRPr="005B054B">
        <w:rPr>
          <w:rFonts w:ascii="Open Sans" w:hAnsi="Open Sans" w:cs="Open Sans"/>
          <w:i/>
          <w:color w:val="000000"/>
          <w:sz w:val="16"/>
          <w:szCs w:val="16"/>
        </w:rPr>
        <w:t>Protecting and strengthening Minnesota’s Renters’ Credit</w:t>
      </w:r>
      <w:r w:rsidRPr="005B054B">
        <w:rPr>
          <w:rFonts w:ascii="Open Sans" w:hAnsi="Open Sans" w:cs="Open Sans"/>
          <w:color w:val="000000"/>
          <w:sz w:val="16"/>
          <w:szCs w:val="16"/>
        </w:rPr>
        <w:t>, Minnesota Budget Project, https://www.mnbudgetproject.org/issues/current-agenda/renters'-credit</w:t>
      </w:r>
    </w:p>
  </w:endnote>
  <w:endnote w:id="9">
    <w:p w14:paraId="2E72E69C"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ARS § 43-1072. https://www.azleg.gov/ars/43/01072.htm#:~:text=43%2D1072%20%2D%20Earned%20credit%20for,of%20age%20or%20older%3B%20definitions.</w:t>
      </w:r>
    </w:p>
  </w:endnote>
  <w:endnote w:id="10">
    <w:p w14:paraId="0905C0CC" w14:textId="77777777" w:rsidR="00294FCC" w:rsidRPr="005B054B" w:rsidRDefault="00294FCC" w:rsidP="00BB04A1">
      <w:pPr>
        <w:pBdr>
          <w:top w:val="nil"/>
          <w:left w:val="nil"/>
          <w:bottom w:val="nil"/>
          <w:right w:val="nil"/>
          <w:between w:val="nil"/>
        </w:pBdr>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CO Rev Stat § 39-31-101. https://leg.colorado.gov/sites/default/files/images/olls/crs2021-title-39.pdf at 917.</w:t>
      </w:r>
    </w:p>
  </w:endnote>
  <w:endnote w:id="11">
    <w:p w14:paraId="3CC20895"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CGS Chapter 204a. https://www.cga.ct.gov/current/pub/chap_204a.htm#:~:text=Chapter%20204a%20%2D%20Property%20Tax%20Relief,Persons%20with%20Permanent%20Total%20Disability.</w:t>
      </w:r>
    </w:p>
  </w:endnote>
  <w:endnote w:id="12">
    <w:p w14:paraId="7AD017FD"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Iowa Code § 425.17. https://www.legis.iowa.gov/docs/code/425.17.pdf.</w:t>
      </w:r>
    </w:p>
  </w:endnote>
  <w:endnote w:id="13">
    <w:p w14:paraId="1C353947"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RSMo §125.030. https://www.revisor.mo.gov/main/OneSection.aspx?section=125.030&amp;bid=39181&amp;hl=.</w:t>
      </w:r>
    </w:p>
  </w:endnote>
  <w:endnote w:id="14">
    <w:p w14:paraId="40E30FB7"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MCA § 15-30-2337. https://www.leg.mt.gov/bills/mca/title_0150/chapter_0300/part_0230/sections_index.html.</w:t>
      </w:r>
    </w:p>
  </w:endnote>
  <w:endnote w:id="15">
    <w:p w14:paraId="61DEBECA"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NMSA § 7-2-18. https://nmonesource.com/nmos/nmsa/en/item/4340/index.do#!fragment/zoupio-_Toc100336881/BQCwhgziBcwMYgK4DsDWszIQewE4BUBTADwBdoAvbRABwEtsBaAfX2zgEYAGLgZl4BsADiEcAlABpk2UoQgBFRIVwBPaAHJ1EiITC4Ei5Ws3bd+kAGU8pAEJqASgFEAMo4BqAQQByAYUcTSMAAjaFJ2MTEgA.</w:t>
      </w:r>
    </w:p>
  </w:endnote>
  <w:endnote w:id="16">
    <w:p w14:paraId="394A2705"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N.D. Cent. Code § 57-02-08.1. https://www.ndlegis.gov/cencode/t57c02.pdf.</w:t>
      </w:r>
    </w:p>
  </w:endnote>
  <w:endnote w:id="17">
    <w:p w14:paraId="6CC7CA46"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Pa. Code § 61.401.1. https://www.pacodeandbulletin.gov/Display/pacode?file=/secure/pacode/data/061/chapter401/s401.1.html&amp;searchunitkeywords=rent%2Crebate&amp;origQuery=rent%20rebate&amp;operator=OR&amp;title=null.</w:t>
      </w:r>
    </w:p>
  </w:endnote>
  <w:endnote w:id="18">
    <w:p w14:paraId="47A7C901"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R.I. Gen. Laws § 44-33-3. http://webserver.rilin.state.ri.us/Statutes/TITLE44/44-33/44-33-3.HTM.</w:t>
      </w:r>
    </w:p>
  </w:endnote>
  <w:endnote w:id="19">
    <w:p w14:paraId="0AD702A9"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UT Code § 59-2-12. https://le.utah.gov/xcode/Title59/Chapter2/59-2-P12.html.</w:t>
      </w:r>
    </w:p>
  </w:endnote>
  <w:endnote w:id="20">
    <w:p w14:paraId="758DB1F5"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ARS § 43-1072. https://www.azleg.gov/ars/43/01072.htm#:~:text=43%2D1072%20%2D%20Earned%20credit%20for,of%20age%20or%20older%3B%20definitions.</w:t>
      </w:r>
    </w:p>
  </w:endnote>
  <w:endnote w:id="21">
    <w:p w14:paraId="57F0F66B"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California Code, RTC § 17053.5. https://leginfo.legislature.ca.gov/faces/codes_displaySection.xhtml?lawCode=RTC&amp;sectionNum=17053.5.</w:t>
      </w:r>
    </w:p>
  </w:endnote>
  <w:endnote w:id="22">
    <w:p w14:paraId="522A4ECC"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HI Rev. Stat. § 235.55.7. https://files.hawaii.gov/tax/legal/hrs/hrs_235.pdf at 43.</w:t>
      </w:r>
    </w:p>
  </w:endnote>
  <w:endnote w:id="23">
    <w:p w14:paraId="3C1DBF7A"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MD Code, Tax-Property § 9-102. https://mgaleg.maryland.gov/mgawebsite/Laws/StatuteText?article=gtp&amp;section=9-102</w:t>
      </w:r>
    </w:p>
  </w:endnote>
  <w:endnote w:id="24">
    <w:p w14:paraId="5C477D37"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MCL § 206.522. http://www.legislature.mi.gov/(S(tlljzh55ivalofcdzynicc1b))/mileg.aspx?page=getobject&amp;objectname=mcl-206-522</w:t>
      </w:r>
    </w:p>
  </w:endnote>
  <w:endnote w:id="25">
    <w:p w14:paraId="3D9B9546"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RSMo §125.030. https://www.revisor.mo.gov/main/OneSection.aspx?section=125.030&amp;bid=39181&amp;hl=.</w:t>
      </w:r>
    </w:p>
  </w:endnote>
  <w:endnote w:id="26">
    <w:p w14:paraId="14BA86A8"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R.I. Gen. Laws § 44-33-3. http://webserver.rilin.state.ri.us/Statutes/TITLE44/44-33/44-33-3.HTM.</w:t>
      </w:r>
    </w:p>
  </w:endnote>
  <w:endnote w:id="27">
    <w:p w14:paraId="52CCA7E8"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UT Code § 59-2-12. https://le.utah.gov/xcode/Title59/Chapter2/59-2-P12.html.</w:t>
      </w:r>
    </w:p>
  </w:endnote>
  <w:endnote w:id="28">
    <w:p w14:paraId="1052570F"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IC Taxation § 6-3-2-6. http://iga.in.gov/legislative/laws/2021/ic/titles/006#6-3-2-6.</w:t>
      </w:r>
    </w:p>
  </w:endnote>
  <w:endnote w:id="29">
    <w:p w14:paraId="41E2A3E1" w14:textId="77777777" w:rsidR="00294FCC" w:rsidRPr="005B054B" w:rsidRDefault="00294FCC" w:rsidP="00BB04A1">
      <w:pPr>
        <w:pBdr>
          <w:top w:val="nil"/>
          <w:left w:val="nil"/>
          <w:bottom w:val="nil"/>
          <w:right w:val="nil"/>
          <w:between w:val="nil"/>
        </w:pBdr>
        <w:tabs>
          <w:tab w:val="left" w:pos="5358"/>
        </w:tabs>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CMR § 830.62.3.1. https://www.mass.gov/regulations/830-CMR-6231-rent-deduction.</w:t>
      </w:r>
    </w:p>
  </w:endnote>
  <w:endnote w:id="30">
    <w:p w14:paraId="2EB5C8E1" w14:textId="77777777" w:rsidR="00294FCC" w:rsidRPr="005B054B" w:rsidRDefault="00294FCC" w:rsidP="00BB04A1">
      <w:pPr>
        <w:rPr>
          <w:rFonts w:ascii="Open Sans" w:hAnsi="Open Sans" w:cs="Open Sans"/>
          <w:sz w:val="16"/>
          <w:szCs w:val="16"/>
        </w:rPr>
      </w:pPr>
      <w:r w:rsidRPr="005B054B">
        <w:rPr>
          <w:rStyle w:val="EndnoteReference"/>
          <w:rFonts w:ascii="Open Sans" w:hAnsi="Open Sans" w:cs="Open Sans"/>
          <w:sz w:val="16"/>
          <w:szCs w:val="16"/>
        </w:rPr>
        <w:endnoteRef/>
      </w:r>
      <w:r w:rsidRPr="005B054B">
        <w:rPr>
          <w:rFonts w:ascii="Open Sans" w:hAnsi="Open Sans" w:cs="Open Sans"/>
          <w:sz w:val="16"/>
          <w:szCs w:val="16"/>
        </w:rPr>
        <w:t xml:space="preserve"> NJ Rev. Stat. § 54:4-6.3. https://www.nj.gov/dca/divisions/dlgs/programs/tenant_docs/trlaw.pdf.</w:t>
      </w:r>
    </w:p>
  </w:endnote>
  <w:endnote w:id="31">
    <w:p w14:paraId="0EE826EC" w14:textId="77777777" w:rsidR="00294FCC" w:rsidRPr="005B054B" w:rsidRDefault="00294FCC" w:rsidP="00BB04A1">
      <w:pPr>
        <w:spacing w:after="0" w:line="240" w:lineRule="auto"/>
        <w:rPr>
          <w:rFonts w:ascii="Open Sans" w:hAnsi="Open Sans" w:cs="Open Sans"/>
          <w:sz w:val="16"/>
          <w:szCs w:val="16"/>
        </w:rPr>
      </w:pPr>
      <w:r w:rsidRPr="005B054B">
        <w:rPr>
          <w:rStyle w:val="EndnoteReference"/>
          <w:rFonts w:ascii="Open Sans" w:hAnsi="Open Sans" w:cs="Open Sans"/>
          <w:sz w:val="16"/>
          <w:szCs w:val="16"/>
        </w:rPr>
        <w:endnoteRef/>
      </w:r>
      <w:r w:rsidRPr="005B054B">
        <w:rPr>
          <w:rFonts w:ascii="Open Sans" w:hAnsi="Open Sans" w:cs="Open Sans"/>
          <w:sz w:val="16"/>
          <w:szCs w:val="16"/>
        </w:rPr>
        <w:t xml:space="preserve"> California Code, RTC § 17053.5. https://leginfo.legislature.ca.gov/faces/codes_displaySection.xhtml?lawCode=RTC&amp;sectionNum=17053.5.</w:t>
      </w:r>
    </w:p>
  </w:endnote>
  <w:endnote w:id="32">
    <w:p w14:paraId="7B29F4A3" w14:textId="77777777" w:rsidR="00294FCC" w:rsidRPr="005B054B" w:rsidRDefault="00294FCC" w:rsidP="00BB04A1">
      <w:pPr>
        <w:pBdr>
          <w:top w:val="nil"/>
          <w:left w:val="nil"/>
          <w:bottom w:val="nil"/>
          <w:right w:val="nil"/>
          <w:between w:val="nil"/>
        </w:pBdr>
        <w:spacing w:after="0" w:line="240" w:lineRule="auto"/>
        <w:rPr>
          <w:rFonts w:ascii="Open Sans" w:hAnsi="Open Sans" w:cs="Open Sans"/>
          <w:color w:val="000000"/>
          <w:sz w:val="16"/>
          <w:szCs w:val="16"/>
        </w:rPr>
      </w:pPr>
      <w:r w:rsidRPr="005B054B">
        <w:rPr>
          <w:rStyle w:val="EndnoteReference"/>
          <w:rFonts w:ascii="Open Sans" w:hAnsi="Open Sans" w:cs="Open Sans"/>
          <w:sz w:val="16"/>
          <w:szCs w:val="16"/>
        </w:rPr>
        <w:endnoteRef/>
      </w:r>
      <w:r w:rsidRPr="005B054B">
        <w:rPr>
          <w:rFonts w:ascii="Open Sans" w:hAnsi="Open Sans" w:cs="Open Sans"/>
          <w:color w:val="000000"/>
          <w:sz w:val="16"/>
          <w:szCs w:val="16"/>
        </w:rPr>
        <w:t xml:space="preserve"> HI Rev. Stat. § 235.55.7. https://files.hawaii.gov/tax/legal/hrs/hrs_235.pdf at 43.</w:t>
      </w:r>
    </w:p>
  </w:endnote>
  <w:endnote w:id="33">
    <w:p w14:paraId="139B074E" w14:textId="77777777" w:rsidR="00294FCC" w:rsidRPr="005B054B" w:rsidRDefault="00294FCC" w:rsidP="00BB04A1">
      <w:pPr>
        <w:spacing w:after="0" w:line="240" w:lineRule="auto"/>
        <w:rPr>
          <w:rFonts w:ascii="Open Sans" w:hAnsi="Open Sans" w:cs="Open Sans"/>
          <w:sz w:val="16"/>
          <w:szCs w:val="16"/>
        </w:rPr>
      </w:pPr>
      <w:r w:rsidRPr="005B054B">
        <w:rPr>
          <w:rStyle w:val="EndnoteReference"/>
          <w:rFonts w:ascii="Open Sans" w:hAnsi="Open Sans" w:cs="Open Sans"/>
          <w:sz w:val="16"/>
          <w:szCs w:val="16"/>
        </w:rPr>
        <w:endnoteRef/>
      </w:r>
      <w:r w:rsidRPr="005B054B">
        <w:rPr>
          <w:rFonts w:ascii="Open Sans" w:hAnsi="Open Sans" w:cs="Open Sans"/>
          <w:sz w:val="16"/>
          <w:szCs w:val="16"/>
        </w:rPr>
        <w:t xml:space="preserve"> An Act relating to a tax credit for renters, H.B. 696, 2022 Kentucky General Assembly, 2022 Reg. Sess. (Ken. 2022). https://apps.legislature.ky.gov/recorddocuments/bill/22RS/hb696/orig_bill.pdf.</w:t>
      </w:r>
    </w:p>
  </w:endnote>
  <w:endnote w:id="34">
    <w:p w14:paraId="3D73F901" w14:textId="77777777" w:rsidR="00294FCC" w:rsidRPr="005B054B" w:rsidRDefault="00294FCC" w:rsidP="00BB04A1">
      <w:pPr>
        <w:spacing w:after="0" w:line="240" w:lineRule="auto"/>
        <w:rPr>
          <w:rFonts w:ascii="Open Sans" w:hAnsi="Open Sans" w:cs="Open Sans"/>
          <w:sz w:val="16"/>
          <w:szCs w:val="16"/>
        </w:rPr>
      </w:pPr>
      <w:r w:rsidRPr="005B054B">
        <w:rPr>
          <w:rStyle w:val="EndnoteReference"/>
          <w:rFonts w:ascii="Open Sans" w:hAnsi="Open Sans" w:cs="Open Sans"/>
          <w:sz w:val="16"/>
          <w:szCs w:val="16"/>
        </w:rPr>
        <w:endnoteRef/>
      </w:r>
      <w:r w:rsidRPr="005B054B">
        <w:rPr>
          <w:rFonts w:ascii="Open Sans" w:hAnsi="Open Sans" w:cs="Open Sans"/>
          <w:sz w:val="16"/>
          <w:szCs w:val="16"/>
        </w:rPr>
        <w:t xml:space="preserve"> A Bill for an Act relating to income taxes, LB740, 107th Legislature, 2022 Reg. Sess.  (Neb. 2022). https://nebraskalegislature.gov/FloorDocs/107/PDF/Intro/LB740.pdf.</w:t>
      </w:r>
    </w:p>
  </w:endnote>
  <w:endnote w:id="35">
    <w:p w14:paraId="0C18FE7B" w14:textId="424127DC" w:rsidR="004B62C4" w:rsidRPr="00BA2731" w:rsidRDefault="004B62C4">
      <w:pPr>
        <w:pStyle w:val="EndnoteText"/>
        <w:rPr>
          <w:rFonts w:ascii="Open Sans" w:hAnsi="Open Sans" w:cs="Open Sans"/>
          <w:sz w:val="16"/>
          <w:szCs w:val="16"/>
        </w:rPr>
      </w:pPr>
      <w:r w:rsidRPr="00BA2731">
        <w:rPr>
          <w:rStyle w:val="EndnoteReference"/>
          <w:rFonts w:ascii="Open Sans" w:hAnsi="Open Sans" w:cs="Open Sans"/>
          <w:sz w:val="16"/>
          <w:szCs w:val="16"/>
        </w:rPr>
        <w:endnoteRef/>
      </w:r>
      <w:r w:rsidRPr="00BA2731">
        <w:rPr>
          <w:rFonts w:ascii="Open Sans" w:hAnsi="Open Sans" w:cs="Open Sans"/>
          <w:sz w:val="16"/>
          <w:szCs w:val="16"/>
        </w:rPr>
        <w:t xml:space="preserve"> </w:t>
      </w:r>
      <w:r w:rsidR="00F86F82" w:rsidRPr="00BA2731">
        <w:rPr>
          <w:rFonts w:ascii="Open Sans" w:hAnsi="Open Sans" w:cs="Open Sans"/>
          <w:sz w:val="16"/>
          <w:szCs w:val="16"/>
        </w:rPr>
        <w:t>Brookings,</w:t>
      </w:r>
      <w:r w:rsidR="00E43559" w:rsidRPr="00BA2731">
        <w:rPr>
          <w:rFonts w:ascii="Open Sans" w:hAnsi="Open Sans" w:cs="Open Sans"/>
          <w:sz w:val="16"/>
          <w:szCs w:val="16"/>
        </w:rPr>
        <w:t xml:space="preserve"> </w:t>
      </w:r>
      <w:r w:rsidR="00E43559" w:rsidRPr="00BA2731">
        <w:rPr>
          <w:rFonts w:ascii="Open Sans" w:hAnsi="Open Sans" w:cs="Open Sans"/>
          <w:i/>
          <w:iCs/>
          <w:sz w:val="16"/>
          <w:szCs w:val="16"/>
        </w:rPr>
        <w:t>The new child tax credit does more than just cut poverty</w:t>
      </w:r>
      <w:r w:rsidR="00E43559" w:rsidRPr="00BA2731">
        <w:rPr>
          <w:rFonts w:ascii="Open Sans" w:hAnsi="Open Sans" w:cs="Open Sans"/>
          <w:sz w:val="16"/>
          <w:szCs w:val="16"/>
        </w:rPr>
        <w:t>,</w:t>
      </w:r>
      <w:r w:rsidR="00E63AC7" w:rsidRPr="00BA2731">
        <w:rPr>
          <w:rFonts w:ascii="Open Sans" w:hAnsi="Open Sans" w:cs="Open Sans"/>
          <w:sz w:val="16"/>
          <w:szCs w:val="16"/>
        </w:rPr>
        <w:t xml:space="preserve"> September 24, 2021,</w:t>
      </w:r>
      <w:r w:rsidR="00F86F82" w:rsidRPr="00BA2731">
        <w:rPr>
          <w:rFonts w:ascii="Open Sans" w:hAnsi="Open Sans" w:cs="Open Sans"/>
          <w:sz w:val="16"/>
          <w:szCs w:val="16"/>
        </w:rPr>
        <w:t xml:space="preserve"> https://www.brookings.edu/blog/up-front/2021/09/24/the-new-child-tax-credit-does-more-than-just-cut-poverty/.</w:t>
      </w:r>
    </w:p>
  </w:endnote>
  <w:endnote w:id="36">
    <w:p w14:paraId="6AA0E6E6" w14:textId="57D986AD" w:rsidR="004B62C4" w:rsidRPr="00BA2731" w:rsidRDefault="004B62C4">
      <w:pPr>
        <w:pStyle w:val="EndnoteText"/>
        <w:rPr>
          <w:rFonts w:ascii="Open Sans" w:hAnsi="Open Sans" w:cs="Open Sans"/>
          <w:sz w:val="16"/>
          <w:szCs w:val="16"/>
        </w:rPr>
      </w:pPr>
      <w:r w:rsidRPr="00BA2731">
        <w:rPr>
          <w:rStyle w:val="EndnoteReference"/>
          <w:rFonts w:ascii="Open Sans" w:hAnsi="Open Sans" w:cs="Open Sans"/>
          <w:sz w:val="16"/>
          <w:szCs w:val="16"/>
        </w:rPr>
        <w:endnoteRef/>
      </w:r>
      <w:r w:rsidRPr="00BA2731">
        <w:rPr>
          <w:rFonts w:ascii="Open Sans" w:hAnsi="Open Sans" w:cs="Open Sans"/>
          <w:sz w:val="16"/>
          <w:szCs w:val="16"/>
        </w:rPr>
        <w:t xml:space="preserve"> </w:t>
      </w:r>
      <w:r w:rsidR="00A91BA8" w:rsidRPr="00BA2731">
        <w:rPr>
          <w:rFonts w:ascii="Open Sans" w:hAnsi="Open Sans" w:cs="Open Sans"/>
          <w:sz w:val="16"/>
          <w:szCs w:val="16"/>
        </w:rPr>
        <w:t xml:space="preserve">Sara Kimberlin &amp; Christopher Wimer, </w:t>
      </w:r>
      <w:r w:rsidR="00A91BA8" w:rsidRPr="00BA2731">
        <w:rPr>
          <w:rFonts w:ascii="Open Sans" w:hAnsi="Open Sans" w:cs="Open Sans"/>
          <w:i/>
          <w:iCs/>
          <w:sz w:val="16"/>
          <w:szCs w:val="16"/>
        </w:rPr>
        <w:t>A Renter’s Tax Credit to Curtail the Affordable Housing Crisis</w:t>
      </w:r>
      <w:r w:rsidR="00A91BA8" w:rsidRPr="00BA2731">
        <w:rPr>
          <w:rFonts w:ascii="Open Sans" w:hAnsi="Open Sans" w:cs="Open Sans"/>
          <w:sz w:val="16"/>
          <w:szCs w:val="16"/>
        </w:rPr>
        <w:t xml:space="preserve">, </w:t>
      </w:r>
      <w:r w:rsidR="00BA2731" w:rsidRPr="00BA2731">
        <w:rPr>
          <w:rFonts w:ascii="Open Sans" w:hAnsi="Open Sans" w:cs="Open Sans"/>
          <w:sz w:val="16"/>
          <w:szCs w:val="16"/>
        </w:rPr>
        <w:t>available at https://muse.jhu.edu/article/687579.</w:t>
      </w:r>
    </w:p>
  </w:endnote>
  <w:endnote w:id="37">
    <w:p w14:paraId="4E39F6AF"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Sonya Acosta &amp; Brianna Guerrero, </w:t>
      </w:r>
      <w:r w:rsidRPr="00BA2731">
        <w:rPr>
          <w:rFonts w:ascii="Open Sans" w:hAnsi="Open Sans" w:cs="Open Sans"/>
          <w:i/>
          <w:color w:val="000000"/>
          <w:sz w:val="16"/>
          <w:szCs w:val="16"/>
        </w:rPr>
        <w:t>Long Waitlists for Housing Vouchers Show Pressing Unmet Need for Assistance</w:t>
      </w:r>
      <w:r w:rsidRPr="00BA2731">
        <w:rPr>
          <w:rFonts w:ascii="Open Sans" w:hAnsi="Open Sans" w:cs="Open Sans"/>
          <w:color w:val="000000"/>
          <w:sz w:val="16"/>
          <w:szCs w:val="16"/>
        </w:rPr>
        <w:t>, Center on Budget and Policy Priorities, October 6, 2021, https://www.cbpp.org/research/housing/long-waitlists-for-housing-vouchers-show-pressing-unmet-need-for-assistance.</w:t>
      </w:r>
    </w:p>
  </w:endnote>
  <w:endnote w:id="38">
    <w:p w14:paraId="20B97EFA"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Cunningham, et al., </w:t>
      </w:r>
      <w:r w:rsidRPr="00BA2731">
        <w:rPr>
          <w:rFonts w:ascii="Open Sans" w:hAnsi="Open Sans" w:cs="Open Sans"/>
          <w:i/>
          <w:color w:val="000000"/>
          <w:sz w:val="16"/>
          <w:szCs w:val="16"/>
        </w:rPr>
        <w:t>A Pilot Study of Landlord Acceptance of Housing Choice Vouchers</w:t>
      </w:r>
      <w:r w:rsidRPr="00BA2731">
        <w:rPr>
          <w:rFonts w:ascii="Open Sans" w:hAnsi="Open Sans" w:cs="Open Sans"/>
          <w:color w:val="000000"/>
          <w:sz w:val="16"/>
          <w:szCs w:val="16"/>
        </w:rPr>
        <w:t>, U.S. Department of Housing and Urban Development, September 20, 2018, https://www.huduser.gov/portal/pilot-study-landlord-acceptance-hcv.html.</w:t>
      </w:r>
    </w:p>
  </w:endnote>
  <w:endnote w:id="39">
    <w:p w14:paraId="074909C7" w14:textId="77777777" w:rsidR="005C69E5" w:rsidRPr="00BA2731" w:rsidRDefault="005C69E5" w:rsidP="005C69E5">
      <w:pPr>
        <w:pBdr>
          <w:top w:val="nil"/>
          <w:left w:val="nil"/>
          <w:bottom w:val="nil"/>
          <w:right w:val="nil"/>
          <w:between w:val="nil"/>
        </w:pBdr>
        <w:spacing w:after="0" w:line="240" w:lineRule="auto"/>
        <w:rPr>
          <w:rFonts w:ascii="Open Sans" w:hAnsi="Open Sans" w:cs="Open Sans"/>
          <w:i/>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HUD Remains Challenged to Serve the Maximum Number of Eligible Families Due to Decreasing Utilization in the Housing Choice Voucher Program, Office of Inspector General for the U.S. Department of Housing and Urban Development, September 15,2021,</w:t>
      </w:r>
    </w:p>
    <w:p w14:paraId="1808B950"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563C1"/>
          <w:sz w:val="16"/>
          <w:szCs w:val="16"/>
          <w:u w:val="single"/>
        </w:rPr>
      </w:pPr>
      <w:r w:rsidRPr="00BA2731">
        <w:rPr>
          <w:rFonts w:ascii="Open Sans" w:hAnsi="Open Sans" w:cs="Open Sans"/>
          <w:color w:val="000000"/>
          <w:sz w:val="16"/>
          <w:szCs w:val="16"/>
        </w:rPr>
        <w:t xml:space="preserve"> https://www.hudoig.gov/sites/default/files/2021-10/2021-CH-0001_0.pdf.</w:t>
      </w:r>
    </w:p>
  </w:endnote>
  <w:endnote w:id="40">
    <w:p w14:paraId="21B9F760"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The Low-Income Housing Tax Credit (LIHTC) is a supply-side solution to the affordable housing crisis. It is a tax benefit to incentivize (but not require) developers and investors to build more affordable housing. LIHTC is out of reach for the poorest households without a deeper housing subsidy like a Housing Choice Voucher. Furthermore, affordable housing built through LIHTC is also temporary - LIHTC properties shift to market rate housing after 30 years and only has a compliance period of 15 years. See National Housing Law Project, LIHTC Preservation and Compliance, available at https://www.nhlp.org/resources/lihtc-preservation-compliance/. </w:t>
      </w:r>
      <w:r w:rsidRPr="00BA2731">
        <w:rPr>
          <w:rFonts w:ascii="Open Sans" w:hAnsi="Open Sans" w:cs="Open Sans"/>
          <w:color w:val="111111"/>
          <w:sz w:val="16"/>
          <w:szCs w:val="16"/>
        </w:rPr>
        <w:t>LIHTC is a shallow subsidy and in practice, “lower-income renters living in LIHTC units often require additional subsidies to make this housing affordable.” https://www.jchs.harvard.edu/sites/default/files/reports/files/Harvard_JCHS_Americas_Rental_Housing_2022.pd.</w:t>
      </w:r>
    </w:p>
  </w:endnote>
  <w:endnote w:id="41">
    <w:p w14:paraId="7653D206"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Building a Better Ladder of Housing Opportunity in the United States, Terner Center for Housing Innovation at UC Berkeley, February 2021, https://ternercenter.berkeley.edu/wp-content/uploads/2021/02/Federal-Framework-Brief-February-2021.pdf.</w:t>
      </w:r>
    </w:p>
  </w:endnote>
  <w:endnote w:id="42">
    <w:p w14:paraId="08AD1A35"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Abha Bhattarai, Chris Alcantara &amp; Andrew Van Dam, </w:t>
      </w:r>
      <w:r w:rsidRPr="00BA2731">
        <w:rPr>
          <w:rFonts w:ascii="Open Sans" w:hAnsi="Open Sans" w:cs="Open Sans"/>
          <w:i/>
          <w:color w:val="000000"/>
          <w:sz w:val="16"/>
          <w:szCs w:val="16"/>
        </w:rPr>
        <w:t>Rents are rising everywhere. See how much prices are up in your area</w:t>
      </w:r>
      <w:r w:rsidRPr="00BA2731">
        <w:rPr>
          <w:rFonts w:ascii="Open Sans" w:hAnsi="Open Sans" w:cs="Open Sans"/>
          <w:color w:val="000000"/>
          <w:sz w:val="16"/>
          <w:szCs w:val="16"/>
        </w:rPr>
        <w:t>, The Washington Post, April 21, 2022, https://www.washingtonpost.com/business/interactive/2022/rising-rent-prices/.</w:t>
      </w:r>
    </w:p>
  </w:endnote>
  <w:endnote w:id="43">
    <w:p w14:paraId="73D317A0"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U.S. Home Price Insights, CoreLogic, June 7, 2022, https://www.corelogic.com/intelligence/u-s-home-price-insights/.</w:t>
      </w:r>
    </w:p>
  </w:endnote>
  <w:endnote w:id="44">
    <w:p w14:paraId="043E540F"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Fernandez, et al., Mortgage Interest Deduction and the Racial Wealth Gap, Berkeley Public Policy Journal, August 23, 2018, https://bppj.berkeley.edu/2018/08/23/mortgage-interest-deduction-and-the-racial-wealth-gap/.</w:t>
      </w:r>
    </w:p>
  </w:endnote>
  <w:endnote w:id="45">
    <w:p w14:paraId="662B6B89"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The Impact of the Federal Income Tax Code on Poverty, Congressional Research Service, October 19, 2020, </w:t>
      </w:r>
      <w:hyperlink r:id="rId2">
        <w:r w:rsidRPr="00BA2731">
          <w:rPr>
            <w:rFonts w:ascii="Open Sans" w:hAnsi="Open Sans" w:cs="Open Sans"/>
            <w:color w:val="0563C1"/>
            <w:sz w:val="16"/>
            <w:szCs w:val="16"/>
            <w:u w:val="single"/>
          </w:rPr>
          <w:t>https://crsreports.congress.gov/product/pdf/R/R45971.</w:t>
        </w:r>
      </w:hyperlink>
    </w:p>
  </w:endnote>
  <w:endnote w:id="46">
    <w:p w14:paraId="2AC9476E"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3.7 million more children in poverty in Jan 2022 without monthly Child Tax Credit, Center on Poverty &amp; Social Policy at Columbia University, February 17, 2022, </w:t>
      </w:r>
      <w:hyperlink r:id="rId3">
        <w:r w:rsidRPr="00BA2731">
          <w:rPr>
            <w:rFonts w:ascii="Open Sans" w:hAnsi="Open Sans" w:cs="Open Sans"/>
            <w:color w:val="0563C1"/>
            <w:sz w:val="16"/>
            <w:szCs w:val="16"/>
            <w:u w:val="single"/>
          </w:rPr>
          <w:t>https://www.povertycenter.columbia.edu/news-internal/monthly-poverty-january-2022</w:t>
        </w:r>
      </w:hyperlink>
      <w:r w:rsidRPr="00BA2731">
        <w:rPr>
          <w:rFonts w:ascii="Open Sans" w:hAnsi="Open Sans" w:cs="Open Sans"/>
          <w:color w:val="000000"/>
          <w:sz w:val="16"/>
          <w:szCs w:val="16"/>
        </w:rPr>
        <w:t xml:space="preserve"> .</w:t>
      </w:r>
    </w:p>
  </w:endnote>
  <w:endnote w:id="47">
    <w:p w14:paraId="06C60694"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The FAIR Tax Credit, Terner Center for Housing Innovation at UC Berkeley, https://ternercenter.berkeley.edu/wp-content/uploads/pdfs/FAIR_Credit.pdf.</w:t>
      </w:r>
    </w:p>
  </w:endnote>
  <w:endnote w:id="48">
    <w:p w14:paraId="75F71768"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Housing burden: All residents should have access to quality, affordable homes, National Equity Atlas, https://nationalequityatlas.org/indicators/Housing_burden#/.</w:t>
      </w:r>
    </w:p>
  </w:endnote>
  <w:endnote w:id="49">
    <w:p w14:paraId="2349E11A" w14:textId="77777777" w:rsidR="005C69E5" w:rsidRPr="00BA2731" w:rsidRDefault="005C69E5" w:rsidP="005C69E5">
      <w:pPr>
        <w:spacing w:after="0" w:line="240" w:lineRule="auto"/>
        <w:rPr>
          <w:rFonts w:ascii="Open Sans" w:hAnsi="Open Sans" w:cs="Open Sans"/>
          <w:sz w:val="16"/>
          <w:szCs w:val="16"/>
        </w:rPr>
      </w:pPr>
      <w:r w:rsidRPr="00BA2731">
        <w:rPr>
          <w:rStyle w:val="EndnoteReference"/>
          <w:rFonts w:ascii="Open Sans" w:hAnsi="Open Sans" w:cs="Open Sans"/>
          <w:sz w:val="16"/>
          <w:szCs w:val="16"/>
        </w:rPr>
        <w:endnoteRef/>
      </w:r>
      <w:r w:rsidRPr="00BA2731">
        <w:rPr>
          <w:rFonts w:ascii="Open Sans" w:hAnsi="Open Sans" w:cs="Open Sans"/>
          <w:sz w:val="16"/>
          <w:szCs w:val="16"/>
        </w:rPr>
        <w:t>Center on Budget Policy and Priorities, https://www.cbpp.org/over-1-in-7-renters-not-caught-up-on-rent-during-pandemic-with-renters-of-color-facing-greatest.</w:t>
      </w:r>
    </w:p>
  </w:endnote>
  <w:endnote w:id="50">
    <w:p w14:paraId="644D60B5"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Over 1 in 7 Renters Not Caught Up on Rent During Pandemic, With Renters of Color Facing Greatest Hardship, Center on Budget and Policy Priorities, https://www.cbpp.org/over-1-in-7-renters-not-caught-up-on-rent-during-pandemic-with-renters-of-color-facing-greatest.</w:t>
      </w:r>
    </w:p>
  </w:endnote>
  <w:endnote w:id="51">
    <w:p w14:paraId="0783FDC9"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Peter Hepburn, Renee Louis &amp; Matthew Desmond, </w:t>
      </w:r>
      <w:r w:rsidRPr="00BA2731">
        <w:rPr>
          <w:rFonts w:ascii="Open Sans" w:hAnsi="Open Sans" w:cs="Open Sans"/>
          <w:i/>
          <w:color w:val="000000"/>
          <w:sz w:val="16"/>
          <w:szCs w:val="16"/>
        </w:rPr>
        <w:t>Racial and Gender Disparities among Evicted Americans</w:t>
      </w:r>
      <w:r w:rsidRPr="00BA2731">
        <w:rPr>
          <w:rFonts w:ascii="Open Sans" w:hAnsi="Open Sans" w:cs="Open Sans"/>
          <w:color w:val="000000"/>
          <w:sz w:val="16"/>
          <w:szCs w:val="16"/>
        </w:rPr>
        <w:t>, Eviction Lab, December 16, 2020, https://evictionlab.org/demographics-of-eviction/.</w:t>
      </w:r>
    </w:p>
  </w:endnote>
  <w:endnote w:id="52">
    <w:p w14:paraId="6DABCF6C" w14:textId="77777777" w:rsidR="005C69E5" w:rsidRPr="00BA2731" w:rsidRDefault="005C69E5" w:rsidP="005C69E5">
      <w:pPr>
        <w:pBdr>
          <w:top w:val="nil"/>
          <w:left w:val="nil"/>
          <w:bottom w:val="nil"/>
          <w:right w:val="nil"/>
          <w:between w:val="nil"/>
        </w:pBdr>
        <w:spacing w:after="0" w:line="240" w:lineRule="auto"/>
        <w:rPr>
          <w:rFonts w:ascii="Open Sans" w:hAnsi="Open Sans" w:cs="Open Sans"/>
          <w:i/>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w:t>
      </w:r>
      <w:r w:rsidRPr="00BA2731">
        <w:rPr>
          <w:rFonts w:ascii="Open Sans" w:hAnsi="Open Sans" w:cs="Open Sans"/>
          <w:i/>
          <w:color w:val="000000"/>
          <w:sz w:val="16"/>
          <w:szCs w:val="16"/>
        </w:rPr>
        <w:t>Id.</w:t>
      </w:r>
    </w:p>
  </w:endnote>
  <w:endnote w:id="53">
    <w:p w14:paraId="73416668"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Racial Inequalities in Homelessness, by the Numbers, National Alliance to End Homelessness, June 1, 2020, https://endhomelessness.org/resource/racial-inequalities-homelessness-numbers/.</w:t>
      </w:r>
    </w:p>
  </w:endnote>
  <w:endnote w:id="54">
    <w:p w14:paraId="2F028D82" w14:textId="77777777" w:rsidR="005C69E5" w:rsidRPr="00BA2731" w:rsidRDefault="005C69E5" w:rsidP="005C69E5">
      <w:pPr>
        <w:spacing w:after="0" w:line="240" w:lineRule="auto"/>
        <w:rPr>
          <w:rFonts w:ascii="Open Sans" w:hAnsi="Open Sans" w:cs="Open Sans"/>
          <w:sz w:val="16"/>
          <w:szCs w:val="16"/>
        </w:rPr>
      </w:pPr>
      <w:r w:rsidRPr="00BA2731">
        <w:rPr>
          <w:rStyle w:val="EndnoteReference"/>
          <w:rFonts w:ascii="Open Sans" w:hAnsi="Open Sans" w:cs="Open Sans"/>
          <w:sz w:val="16"/>
          <w:szCs w:val="16"/>
        </w:rPr>
        <w:endnoteRef/>
      </w:r>
      <w:r w:rsidRPr="00BA2731">
        <w:rPr>
          <w:rFonts w:ascii="Open Sans" w:hAnsi="Open Sans" w:cs="Open Sans"/>
          <w:sz w:val="16"/>
          <w:szCs w:val="16"/>
        </w:rPr>
        <w:t>Racial Inequalities in Homelessness, by the Numbers, National Alliance to End Homelessness, June 1, 2020, https://endhomelessness.org/resource/racial-inequalities-homelessness-numbers/.</w:t>
      </w:r>
    </w:p>
  </w:endnote>
  <w:endnote w:id="55">
    <w:p w14:paraId="0FFB7318"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Dorothy Brown, </w:t>
      </w:r>
      <w:r w:rsidRPr="00BA2731">
        <w:rPr>
          <w:rFonts w:ascii="Open Sans" w:hAnsi="Open Sans" w:cs="Open Sans"/>
          <w:i/>
          <w:color w:val="000000"/>
          <w:sz w:val="16"/>
          <w:szCs w:val="16"/>
        </w:rPr>
        <w:t>How the U.S. Tax Code Privileges White Families</w:t>
      </w:r>
      <w:r w:rsidRPr="00BA2731">
        <w:rPr>
          <w:rFonts w:ascii="Open Sans" w:hAnsi="Open Sans" w:cs="Open Sans"/>
          <w:color w:val="000000"/>
          <w:sz w:val="16"/>
          <w:szCs w:val="16"/>
        </w:rPr>
        <w:t xml:space="preserve">, March 23, 2021, </w:t>
      </w:r>
      <w:hyperlink r:id="rId4" w:history="1">
        <w:r w:rsidRPr="00BA2731">
          <w:rPr>
            <w:rStyle w:val="Hyperlink"/>
            <w:rFonts w:ascii="Open Sans" w:hAnsi="Open Sans" w:cs="Open Sans"/>
            <w:sz w:val="16"/>
            <w:szCs w:val="16"/>
          </w:rPr>
          <w:t>https://www.theatlantic.com/ideas/archive/2021/03/us-tax-code-race-marriage-penalty/618339/</w:t>
        </w:r>
      </w:hyperlink>
      <w:r w:rsidRPr="00BA2731">
        <w:rPr>
          <w:rFonts w:ascii="Open Sans" w:hAnsi="Open Sans" w:cs="Open Sans"/>
          <w:color w:val="000000"/>
          <w:sz w:val="16"/>
          <w:szCs w:val="16"/>
        </w:rPr>
        <w:t xml:space="preserve">; Francine J. Lipman, </w:t>
      </w:r>
      <w:r w:rsidRPr="00BA2731">
        <w:rPr>
          <w:rFonts w:ascii="Open Sans" w:hAnsi="Open Sans" w:cs="Open Sans"/>
          <w:i/>
          <w:iCs/>
          <w:color w:val="000000"/>
          <w:sz w:val="16"/>
          <w:szCs w:val="16"/>
        </w:rPr>
        <w:t>How to Design an Antiracist State and Local Tax System</w:t>
      </w:r>
      <w:r w:rsidRPr="00BA2731">
        <w:rPr>
          <w:rFonts w:ascii="Open Sans" w:hAnsi="Open Sans" w:cs="Open Sans"/>
          <w:color w:val="000000"/>
          <w:sz w:val="16"/>
          <w:szCs w:val="16"/>
        </w:rPr>
        <w:t xml:space="preserve">, 52 </w:t>
      </w:r>
      <w:r w:rsidRPr="00BA2731">
        <w:rPr>
          <w:rFonts w:ascii="Open Sans" w:hAnsi="Open Sans" w:cs="Open Sans"/>
          <w:smallCaps/>
          <w:color w:val="000000"/>
          <w:sz w:val="16"/>
          <w:szCs w:val="16"/>
        </w:rPr>
        <w:t>Seton Hall L. Rev.</w:t>
      </w:r>
      <w:r w:rsidRPr="00BA2731">
        <w:rPr>
          <w:rFonts w:ascii="Open Sans" w:hAnsi="Open Sans" w:cs="Open Sans"/>
          <w:color w:val="000000"/>
          <w:sz w:val="16"/>
          <w:szCs w:val="16"/>
        </w:rPr>
        <w:t xml:space="preserve"> 1531 (2022) Francine J. Lipman, Nicholas A. Mirkay &amp; Palma Joy Strand, </w:t>
      </w:r>
      <w:r w:rsidRPr="00BA2731">
        <w:rPr>
          <w:rFonts w:ascii="Open Sans" w:hAnsi="Open Sans" w:cs="Open Sans"/>
          <w:i/>
          <w:iCs/>
          <w:color w:val="000000"/>
          <w:sz w:val="16"/>
          <w:szCs w:val="16"/>
        </w:rPr>
        <w:t xml:space="preserve">U.S. Tax Systems Need Anti-Racist Restructuring, </w:t>
      </w:r>
      <w:r w:rsidRPr="00BA2731">
        <w:rPr>
          <w:rFonts w:ascii="Open Sans" w:hAnsi="Open Sans" w:cs="Open Sans"/>
          <w:color w:val="000000"/>
          <w:sz w:val="16"/>
          <w:szCs w:val="16"/>
        </w:rPr>
        <w:t xml:space="preserve">168 Tax Notes 855 (Aug. 3, 2020). </w:t>
      </w:r>
    </w:p>
  </w:endnote>
  <w:endnote w:id="56">
    <w:p w14:paraId="3C7B2268"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The FAIR Tax Credit, Terner Center for Housing Innovation at UC Berkeley, Ochttps://ternercenter.berkeley.edu/wp-content/uploads/pdfs/FAIR_Credit.pdf.</w:t>
      </w:r>
    </w:p>
  </w:endnote>
  <w:endnote w:id="57">
    <w:p w14:paraId="5AE3BC95" w14:textId="77777777" w:rsidR="005C69E5" w:rsidRPr="00BA2731" w:rsidRDefault="005C69E5" w:rsidP="005C69E5">
      <w:pPr>
        <w:pBdr>
          <w:top w:val="nil"/>
          <w:left w:val="nil"/>
          <w:bottom w:val="nil"/>
          <w:right w:val="nil"/>
          <w:between w:val="nil"/>
        </w:pBdr>
        <w:spacing w:after="0" w:line="240" w:lineRule="auto"/>
        <w:rPr>
          <w:rFonts w:ascii="Open Sans" w:hAnsi="Open Sans" w:cs="Open Sans"/>
          <w:color w:val="000000"/>
          <w:sz w:val="16"/>
          <w:szCs w:val="16"/>
        </w:rPr>
      </w:pPr>
      <w:r w:rsidRPr="00BA2731">
        <w:rPr>
          <w:rStyle w:val="EndnoteReference"/>
          <w:rFonts w:ascii="Open Sans" w:hAnsi="Open Sans" w:cs="Open Sans"/>
          <w:sz w:val="16"/>
          <w:szCs w:val="16"/>
        </w:rPr>
        <w:endnoteRef/>
      </w:r>
      <w:r w:rsidRPr="00BA2731">
        <w:rPr>
          <w:rFonts w:ascii="Open Sans" w:hAnsi="Open Sans" w:cs="Open Sans"/>
          <w:color w:val="000000"/>
          <w:sz w:val="16"/>
          <w:szCs w:val="16"/>
        </w:rPr>
        <w:t xml:space="preserve"> Brett Grant, </w:t>
      </w:r>
      <w:r w:rsidRPr="00BA2731">
        <w:rPr>
          <w:rFonts w:ascii="Open Sans" w:hAnsi="Open Sans" w:cs="Open Sans"/>
          <w:i/>
          <w:color w:val="000000"/>
          <w:sz w:val="16"/>
          <w:szCs w:val="16"/>
        </w:rPr>
        <w:t>Protecting the Renters Credit is a Racial Justice Issue: Part One</w:t>
      </w:r>
      <w:r w:rsidRPr="00BA2731">
        <w:rPr>
          <w:rFonts w:ascii="Open Sans" w:hAnsi="Open Sans" w:cs="Open Sans"/>
          <w:color w:val="000000"/>
          <w:sz w:val="16"/>
          <w:szCs w:val="16"/>
        </w:rPr>
        <w:t>, Voices for Racial Justice, https://voicesforracialjustice.org/voices/protecting-the-renters-credit-is-a-racial-justice-issue/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A05A84" w14:paraId="2D1A02F9" w14:textId="77777777" w:rsidTr="0BA05A84">
      <w:tc>
        <w:tcPr>
          <w:tcW w:w="3120" w:type="dxa"/>
        </w:tcPr>
        <w:p w14:paraId="7D013A10" w14:textId="0E62DEBD" w:rsidR="0BA05A84" w:rsidRDefault="0BA05A84" w:rsidP="0BA05A84">
          <w:pPr>
            <w:pStyle w:val="Header"/>
            <w:ind w:left="-115"/>
          </w:pPr>
        </w:p>
      </w:tc>
      <w:tc>
        <w:tcPr>
          <w:tcW w:w="3120" w:type="dxa"/>
        </w:tcPr>
        <w:p w14:paraId="4A3D5094" w14:textId="7398DA68" w:rsidR="0BA05A84" w:rsidRDefault="0BA05A84" w:rsidP="0BA05A84">
          <w:pPr>
            <w:pStyle w:val="Header"/>
            <w:jc w:val="center"/>
          </w:pPr>
        </w:p>
      </w:tc>
      <w:tc>
        <w:tcPr>
          <w:tcW w:w="3120" w:type="dxa"/>
        </w:tcPr>
        <w:p w14:paraId="1E23984D" w14:textId="1FAA0C15" w:rsidR="0BA05A84" w:rsidRDefault="0BA05A84" w:rsidP="0BA05A84">
          <w:pPr>
            <w:pStyle w:val="Header"/>
            <w:ind w:right="-115"/>
            <w:jc w:val="right"/>
          </w:pPr>
          <w:r>
            <w:fldChar w:fldCharType="begin"/>
          </w:r>
          <w:r>
            <w:instrText>PAGE</w:instrText>
          </w:r>
          <w:r w:rsidR="00000000">
            <w:fldChar w:fldCharType="separate"/>
          </w:r>
          <w:r w:rsidR="00AC0BCB">
            <w:rPr>
              <w:noProof/>
            </w:rPr>
            <w:t>1</w:t>
          </w:r>
          <w:r>
            <w:fldChar w:fldCharType="end"/>
          </w:r>
        </w:p>
      </w:tc>
    </w:tr>
  </w:tbl>
  <w:p w14:paraId="3A1E5174" w14:textId="2F415BDB" w:rsidR="0BA05A84" w:rsidRDefault="0BA05A84" w:rsidP="0BA05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BA93" w14:textId="77777777" w:rsidR="00A62124" w:rsidRDefault="00A62124" w:rsidP="00BB04A1">
      <w:pPr>
        <w:spacing w:after="0" w:line="240" w:lineRule="auto"/>
      </w:pPr>
      <w:r>
        <w:separator/>
      </w:r>
    </w:p>
  </w:footnote>
  <w:footnote w:type="continuationSeparator" w:id="0">
    <w:p w14:paraId="3550E527" w14:textId="77777777" w:rsidR="00A62124" w:rsidRDefault="00A62124" w:rsidP="00BB04A1">
      <w:pPr>
        <w:spacing w:after="0" w:line="240" w:lineRule="auto"/>
      </w:pPr>
      <w:r>
        <w:continuationSeparator/>
      </w:r>
    </w:p>
  </w:footnote>
  <w:footnote w:type="continuationNotice" w:id="1">
    <w:p w14:paraId="268B2467" w14:textId="77777777" w:rsidR="00A62124" w:rsidRDefault="00A62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A05A84" w14:paraId="1D78345C" w14:textId="77777777" w:rsidTr="0BA05A84">
      <w:tc>
        <w:tcPr>
          <w:tcW w:w="3120" w:type="dxa"/>
        </w:tcPr>
        <w:p w14:paraId="676C5547" w14:textId="033253F3" w:rsidR="0BA05A84" w:rsidRDefault="0BA05A84" w:rsidP="0BA05A84">
          <w:pPr>
            <w:pStyle w:val="Header"/>
            <w:ind w:left="-115"/>
          </w:pPr>
        </w:p>
      </w:tc>
      <w:tc>
        <w:tcPr>
          <w:tcW w:w="3120" w:type="dxa"/>
        </w:tcPr>
        <w:p w14:paraId="72A8DE65" w14:textId="56C17ECE" w:rsidR="0BA05A84" w:rsidRDefault="0BA05A84" w:rsidP="0BA05A84">
          <w:pPr>
            <w:pStyle w:val="Header"/>
            <w:jc w:val="center"/>
          </w:pPr>
        </w:p>
      </w:tc>
      <w:tc>
        <w:tcPr>
          <w:tcW w:w="3120" w:type="dxa"/>
        </w:tcPr>
        <w:p w14:paraId="228ED5AE" w14:textId="2B802D57" w:rsidR="0BA05A84" w:rsidRDefault="0BA05A84" w:rsidP="0BA05A84">
          <w:pPr>
            <w:pStyle w:val="Header"/>
            <w:ind w:right="-115"/>
            <w:jc w:val="right"/>
          </w:pPr>
        </w:p>
      </w:tc>
    </w:tr>
  </w:tbl>
  <w:p w14:paraId="0697B4ED" w14:textId="069B5FB7" w:rsidR="0BA05A84" w:rsidRDefault="0BA05A84" w:rsidP="0BA05A8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TDbI6vo" int2:invalidationBookmarkName="" int2:hashCode="HH2rxcnPBkteXh" int2:id="0OaqATF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B11"/>
    <w:multiLevelType w:val="hybridMultilevel"/>
    <w:tmpl w:val="9258E240"/>
    <w:lvl w:ilvl="0" w:tplc="6DFCD9D8">
      <w:start w:val="1"/>
      <w:numFmt w:val="bullet"/>
      <w:lvlText w:val="-"/>
      <w:lvlJc w:val="left"/>
      <w:pPr>
        <w:ind w:left="720" w:hanging="360"/>
      </w:pPr>
      <w:rPr>
        <w:rFonts w:ascii="Calibri" w:hAnsi="Calibri" w:hint="default"/>
      </w:rPr>
    </w:lvl>
    <w:lvl w:ilvl="1" w:tplc="EAC62DC2">
      <w:start w:val="1"/>
      <w:numFmt w:val="bullet"/>
      <w:lvlText w:val="o"/>
      <w:lvlJc w:val="left"/>
      <w:pPr>
        <w:ind w:left="1440" w:hanging="360"/>
      </w:pPr>
      <w:rPr>
        <w:rFonts w:ascii="Courier New" w:hAnsi="Courier New" w:hint="default"/>
      </w:rPr>
    </w:lvl>
    <w:lvl w:ilvl="2" w:tplc="BA083BDA">
      <w:start w:val="1"/>
      <w:numFmt w:val="bullet"/>
      <w:lvlText w:val=""/>
      <w:lvlJc w:val="left"/>
      <w:pPr>
        <w:ind w:left="2160" w:hanging="360"/>
      </w:pPr>
      <w:rPr>
        <w:rFonts w:ascii="Wingdings" w:hAnsi="Wingdings" w:hint="default"/>
      </w:rPr>
    </w:lvl>
    <w:lvl w:ilvl="3" w:tplc="6674CAEE">
      <w:start w:val="1"/>
      <w:numFmt w:val="bullet"/>
      <w:lvlText w:val=""/>
      <w:lvlJc w:val="left"/>
      <w:pPr>
        <w:ind w:left="2880" w:hanging="360"/>
      </w:pPr>
      <w:rPr>
        <w:rFonts w:ascii="Symbol" w:hAnsi="Symbol" w:hint="default"/>
      </w:rPr>
    </w:lvl>
    <w:lvl w:ilvl="4" w:tplc="9814D054">
      <w:start w:val="1"/>
      <w:numFmt w:val="bullet"/>
      <w:lvlText w:val="o"/>
      <w:lvlJc w:val="left"/>
      <w:pPr>
        <w:ind w:left="3600" w:hanging="360"/>
      </w:pPr>
      <w:rPr>
        <w:rFonts w:ascii="Courier New" w:hAnsi="Courier New" w:hint="default"/>
      </w:rPr>
    </w:lvl>
    <w:lvl w:ilvl="5" w:tplc="DA92A6DE">
      <w:start w:val="1"/>
      <w:numFmt w:val="bullet"/>
      <w:lvlText w:val=""/>
      <w:lvlJc w:val="left"/>
      <w:pPr>
        <w:ind w:left="4320" w:hanging="360"/>
      </w:pPr>
      <w:rPr>
        <w:rFonts w:ascii="Wingdings" w:hAnsi="Wingdings" w:hint="default"/>
      </w:rPr>
    </w:lvl>
    <w:lvl w:ilvl="6" w:tplc="02E4610E">
      <w:start w:val="1"/>
      <w:numFmt w:val="bullet"/>
      <w:lvlText w:val=""/>
      <w:lvlJc w:val="left"/>
      <w:pPr>
        <w:ind w:left="5040" w:hanging="360"/>
      </w:pPr>
      <w:rPr>
        <w:rFonts w:ascii="Symbol" w:hAnsi="Symbol" w:hint="default"/>
      </w:rPr>
    </w:lvl>
    <w:lvl w:ilvl="7" w:tplc="C0365D02">
      <w:start w:val="1"/>
      <w:numFmt w:val="bullet"/>
      <w:lvlText w:val="o"/>
      <w:lvlJc w:val="left"/>
      <w:pPr>
        <w:ind w:left="5760" w:hanging="360"/>
      </w:pPr>
      <w:rPr>
        <w:rFonts w:ascii="Courier New" w:hAnsi="Courier New" w:hint="default"/>
      </w:rPr>
    </w:lvl>
    <w:lvl w:ilvl="8" w:tplc="83283944">
      <w:start w:val="1"/>
      <w:numFmt w:val="bullet"/>
      <w:lvlText w:val=""/>
      <w:lvlJc w:val="left"/>
      <w:pPr>
        <w:ind w:left="6480" w:hanging="360"/>
      </w:pPr>
      <w:rPr>
        <w:rFonts w:ascii="Wingdings" w:hAnsi="Wingdings" w:hint="default"/>
      </w:rPr>
    </w:lvl>
  </w:abstractNum>
  <w:abstractNum w:abstractNumId="1" w15:restartNumberingAfterBreak="0">
    <w:nsid w:val="0E810EF0"/>
    <w:multiLevelType w:val="hybridMultilevel"/>
    <w:tmpl w:val="9620DF60"/>
    <w:lvl w:ilvl="0" w:tplc="EF6EEE86">
      <w:start w:val="1"/>
      <w:numFmt w:val="bullet"/>
      <w:lvlText w:val="-"/>
      <w:lvlJc w:val="left"/>
      <w:pPr>
        <w:ind w:left="720" w:hanging="360"/>
      </w:pPr>
      <w:rPr>
        <w:rFonts w:ascii="Calibri" w:hAnsi="Calibri" w:hint="default"/>
      </w:rPr>
    </w:lvl>
    <w:lvl w:ilvl="1" w:tplc="49A48DDC">
      <w:start w:val="1"/>
      <w:numFmt w:val="bullet"/>
      <w:lvlText w:val="o"/>
      <w:lvlJc w:val="left"/>
      <w:pPr>
        <w:ind w:left="1440" w:hanging="360"/>
      </w:pPr>
      <w:rPr>
        <w:rFonts w:ascii="Courier New" w:hAnsi="Courier New" w:hint="default"/>
      </w:rPr>
    </w:lvl>
    <w:lvl w:ilvl="2" w:tplc="C388B422">
      <w:start w:val="1"/>
      <w:numFmt w:val="bullet"/>
      <w:lvlText w:val=""/>
      <w:lvlJc w:val="left"/>
      <w:pPr>
        <w:ind w:left="2160" w:hanging="360"/>
      </w:pPr>
      <w:rPr>
        <w:rFonts w:ascii="Wingdings" w:hAnsi="Wingdings" w:hint="default"/>
      </w:rPr>
    </w:lvl>
    <w:lvl w:ilvl="3" w:tplc="31E0DB86">
      <w:start w:val="1"/>
      <w:numFmt w:val="bullet"/>
      <w:lvlText w:val=""/>
      <w:lvlJc w:val="left"/>
      <w:pPr>
        <w:ind w:left="2880" w:hanging="360"/>
      </w:pPr>
      <w:rPr>
        <w:rFonts w:ascii="Symbol" w:hAnsi="Symbol" w:hint="default"/>
      </w:rPr>
    </w:lvl>
    <w:lvl w:ilvl="4" w:tplc="1F48844E">
      <w:start w:val="1"/>
      <w:numFmt w:val="bullet"/>
      <w:lvlText w:val="o"/>
      <w:lvlJc w:val="left"/>
      <w:pPr>
        <w:ind w:left="3600" w:hanging="360"/>
      </w:pPr>
      <w:rPr>
        <w:rFonts w:ascii="Courier New" w:hAnsi="Courier New" w:hint="default"/>
      </w:rPr>
    </w:lvl>
    <w:lvl w:ilvl="5" w:tplc="3FC2875E">
      <w:start w:val="1"/>
      <w:numFmt w:val="bullet"/>
      <w:lvlText w:val=""/>
      <w:lvlJc w:val="left"/>
      <w:pPr>
        <w:ind w:left="4320" w:hanging="360"/>
      </w:pPr>
      <w:rPr>
        <w:rFonts w:ascii="Wingdings" w:hAnsi="Wingdings" w:hint="default"/>
      </w:rPr>
    </w:lvl>
    <w:lvl w:ilvl="6" w:tplc="B65A1DDC">
      <w:start w:val="1"/>
      <w:numFmt w:val="bullet"/>
      <w:lvlText w:val=""/>
      <w:lvlJc w:val="left"/>
      <w:pPr>
        <w:ind w:left="5040" w:hanging="360"/>
      </w:pPr>
      <w:rPr>
        <w:rFonts w:ascii="Symbol" w:hAnsi="Symbol" w:hint="default"/>
      </w:rPr>
    </w:lvl>
    <w:lvl w:ilvl="7" w:tplc="C7627F7C">
      <w:start w:val="1"/>
      <w:numFmt w:val="bullet"/>
      <w:lvlText w:val="o"/>
      <w:lvlJc w:val="left"/>
      <w:pPr>
        <w:ind w:left="5760" w:hanging="360"/>
      </w:pPr>
      <w:rPr>
        <w:rFonts w:ascii="Courier New" w:hAnsi="Courier New" w:hint="default"/>
      </w:rPr>
    </w:lvl>
    <w:lvl w:ilvl="8" w:tplc="4C9E9696">
      <w:start w:val="1"/>
      <w:numFmt w:val="bullet"/>
      <w:lvlText w:val=""/>
      <w:lvlJc w:val="left"/>
      <w:pPr>
        <w:ind w:left="6480" w:hanging="360"/>
      </w:pPr>
      <w:rPr>
        <w:rFonts w:ascii="Wingdings" w:hAnsi="Wingdings" w:hint="default"/>
      </w:rPr>
    </w:lvl>
  </w:abstractNum>
  <w:abstractNum w:abstractNumId="2" w15:restartNumberingAfterBreak="0">
    <w:nsid w:val="15E82971"/>
    <w:multiLevelType w:val="hybridMultilevel"/>
    <w:tmpl w:val="2FDEAC84"/>
    <w:lvl w:ilvl="0" w:tplc="B1080EBC">
      <w:start w:val="1"/>
      <w:numFmt w:val="bullet"/>
      <w:lvlText w:val="-"/>
      <w:lvlJc w:val="left"/>
      <w:pPr>
        <w:ind w:left="720" w:hanging="360"/>
      </w:pPr>
      <w:rPr>
        <w:rFonts w:ascii="Calibri" w:hAnsi="Calibri" w:hint="default"/>
      </w:rPr>
    </w:lvl>
    <w:lvl w:ilvl="1" w:tplc="84E48ADC">
      <w:start w:val="1"/>
      <w:numFmt w:val="bullet"/>
      <w:lvlText w:val="o"/>
      <w:lvlJc w:val="left"/>
      <w:pPr>
        <w:ind w:left="1440" w:hanging="360"/>
      </w:pPr>
      <w:rPr>
        <w:rFonts w:ascii="Courier New" w:hAnsi="Courier New" w:hint="default"/>
      </w:rPr>
    </w:lvl>
    <w:lvl w:ilvl="2" w:tplc="828245F6">
      <w:start w:val="1"/>
      <w:numFmt w:val="bullet"/>
      <w:lvlText w:val=""/>
      <w:lvlJc w:val="left"/>
      <w:pPr>
        <w:ind w:left="2160" w:hanging="360"/>
      </w:pPr>
      <w:rPr>
        <w:rFonts w:ascii="Wingdings" w:hAnsi="Wingdings" w:hint="default"/>
      </w:rPr>
    </w:lvl>
    <w:lvl w:ilvl="3" w:tplc="76586A60">
      <w:start w:val="1"/>
      <w:numFmt w:val="bullet"/>
      <w:lvlText w:val=""/>
      <w:lvlJc w:val="left"/>
      <w:pPr>
        <w:ind w:left="2880" w:hanging="360"/>
      </w:pPr>
      <w:rPr>
        <w:rFonts w:ascii="Symbol" w:hAnsi="Symbol" w:hint="default"/>
      </w:rPr>
    </w:lvl>
    <w:lvl w:ilvl="4" w:tplc="637C1C6A">
      <w:start w:val="1"/>
      <w:numFmt w:val="bullet"/>
      <w:lvlText w:val="o"/>
      <w:lvlJc w:val="left"/>
      <w:pPr>
        <w:ind w:left="3600" w:hanging="360"/>
      </w:pPr>
      <w:rPr>
        <w:rFonts w:ascii="Courier New" w:hAnsi="Courier New" w:hint="default"/>
      </w:rPr>
    </w:lvl>
    <w:lvl w:ilvl="5" w:tplc="90EAF6B8">
      <w:start w:val="1"/>
      <w:numFmt w:val="bullet"/>
      <w:lvlText w:val=""/>
      <w:lvlJc w:val="left"/>
      <w:pPr>
        <w:ind w:left="4320" w:hanging="360"/>
      </w:pPr>
      <w:rPr>
        <w:rFonts w:ascii="Wingdings" w:hAnsi="Wingdings" w:hint="default"/>
      </w:rPr>
    </w:lvl>
    <w:lvl w:ilvl="6" w:tplc="B052BFD0">
      <w:start w:val="1"/>
      <w:numFmt w:val="bullet"/>
      <w:lvlText w:val=""/>
      <w:lvlJc w:val="left"/>
      <w:pPr>
        <w:ind w:left="5040" w:hanging="360"/>
      </w:pPr>
      <w:rPr>
        <w:rFonts w:ascii="Symbol" w:hAnsi="Symbol" w:hint="default"/>
      </w:rPr>
    </w:lvl>
    <w:lvl w:ilvl="7" w:tplc="012410C0">
      <w:start w:val="1"/>
      <w:numFmt w:val="bullet"/>
      <w:lvlText w:val="o"/>
      <w:lvlJc w:val="left"/>
      <w:pPr>
        <w:ind w:left="5760" w:hanging="360"/>
      </w:pPr>
      <w:rPr>
        <w:rFonts w:ascii="Courier New" w:hAnsi="Courier New" w:hint="default"/>
      </w:rPr>
    </w:lvl>
    <w:lvl w:ilvl="8" w:tplc="05CCD6E4">
      <w:start w:val="1"/>
      <w:numFmt w:val="bullet"/>
      <w:lvlText w:val=""/>
      <w:lvlJc w:val="left"/>
      <w:pPr>
        <w:ind w:left="6480" w:hanging="360"/>
      </w:pPr>
      <w:rPr>
        <w:rFonts w:ascii="Wingdings" w:hAnsi="Wingdings" w:hint="default"/>
      </w:rPr>
    </w:lvl>
  </w:abstractNum>
  <w:abstractNum w:abstractNumId="3" w15:restartNumberingAfterBreak="0">
    <w:nsid w:val="19A57C8F"/>
    <w:multiLevelType w:val="hybridMultilevel"/>
    <w:tmpl w:val="AA285C36"/>
    <w:lvl w:ilvl="0" w:tplc="049067B0">
      <w:start w:val="1"/>
      <w:numFmt w:val="bullet"/>
      <w:lvlText w:val="-"/>
      <w:lvlJc w:val="left"/>
      <w:pPr>
        <w:ind w:left="720" w:hanging="360"/>
      </w:pPr>
      <w:rPr>
        <w:rFonts w:ascii="Calibri" w:hAnsi="Calibri" w:hint="default"/>
      </w:rPr>
    </w:lvl>
    <w:lvl w:ilvl="1" w:tplc="62CA4D88">
      <w:start w:val="1"/>
      <w:numFmt w:val="bullet"/>
      <w:lvlText w:val="o"/>
      <w:lvlJc w:val="left"/>
      <w:pPr>
        <w:ind w:left="1440" w:hanging="360"/>
      </w:pPr>
      <w:rPr>
        <w:rFonts w:ascii="Courier New" w:hAnsi="Courier New" w:hint="default"/>
      </w:rPr>
    </w:lvl>
    <w:lvl w:ilvl="2" w:tplc="E9C25C06">
      <w:start w:val="1"/>
      <w:numFmt w:val="bullet"/>
      <w:lvlText w:val=""/>
      <w:lvlJc w:val="left"/>
      <w:pPr>
        <w:ind w:left="2160" w:hanging="360"/>
      </w:pPr>
      <w:rPr>
        <w:rFonts w:ascii="Wingdings" w:hAnsi="Wingdings" w:hint="default"/>
      </w:rPr>
    </w:lvl>
    <w:lvl w:ilvl="3" w:tplc="B6E86868">
      <w:start w:val="1"/>
      <w:numFmt w:val="bullet"/>
      <w:lvlText w:val=""/>
      <w:lvlJc w:val="left"/>
      <w:pPr>
        <w:ind w:left="2880" w:hanging="360"/>
      </w:pPr>
      <w:rPr>
        <w:rFonts w:ascii="Symbol" w:hAnsi="Symbol" w:hint="default"/>
      </w:rPr>
    </w:lvl>
    <w:lvl w:ilvl="4" w:tplc="E62A5D5E">
      <w:start w:val="1"/>
      <w:numFmt w:val="bullet"/>
      <w:lvlText w:val="o"/>
      <w:lvlJc w:val="left"/>
      <w:pPr>
        <w:ind w:left="3600" w:hanging="360"/>
      </w:pPr>
      <w:rPr>
        <w:rFonts w:ascii="Courier New" w:hAnsi="Courier New" w:hint="default"/>
      </w:rPr>
    </w:lvl>
    <w:lvl w:ilvl="5" w:tplc="35E063D0">
      <w:start w:val="1"/>
      <w:numFmt w:val="bullet"/>
      <w:lvlText w:val=""/>
      <w:lvlJc w:val="left"/>
      <w:pPr>
        <w:ind w:left="4320" w:hanging="360"/>
      </w:pPr>
      <w:rPr>
        <w:rFonts w:ascii="Wingdings" w:hAnsi="Wingdings" w:hint="default"/>
      </w:rPr>
    </w:lvl>
    <w:lvl w:ilvl="6" w:tplc="BC86DA4C">
      <w:start w:val="1"/>
      <w:numFmt w:val="bullet"/>
      <w:lvlText w:val=""/>
      <w:lvlJc w:val="left"/>
      <w:pPr>
        <w:ind w:left="5040" w:hanging="360"/>
      </w:pPr>
      <w:rPr>
        <w:rFonts w:ascii="Symbol" w:hAnsi="Symbol" w:hint="default"/>
      </w:rPr>
    </w:lvl>
    <w:lvl w:ilvl="7" w:tplc="4BF8C978">
      <w:start w:val="1"/>
      <w:numFmt w:val="bullet"/>
      <w:lvlText w:val="o"/>
      <w:lvlJc w:val="left"/>
      <w:pPr>
        <w:ind w:left="5760" w:hanging="360"/>
      </w:pPr>
      <w:rPr>
        <w:rFonts w:ascii="Courier New" w:hAnsi="Courier New" w:hint="default"/>
      </w:rPr>
    </w:lvl>
    <w:lvl w:ilvl="8" w:tplc="832E00F4">
      <w:start w:val="1"/>
      <w:numFmt w:val="bullet"/>
      <w:lvlText w:val=""/>
      <w:lvlJc w:val="left"/>
      <w:pPr>
        <w:ind w:left="6480" w:hanging="360"/>
      </w:pPr>
      <w:rPr>
        <w:rFonts w:ascii="Wingdings" w:hAnsi="Wingdings" w:hint="default"/>
      </w:rPr>
    </w:lvl>
  </w:abstractNum>
  <w:abstractNum w:abstractNumId="4" w15:restartNumberingAfterBreak="0">
    <w:nsid w:val="27F23371"/>
    <w:multiLevelType w:val="multilevel"/>
    <w:tmpl w:val="6F1E390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30278B"/>
    <w:multiLevelType w:val="hybridMultilevel"/>
    <w:tmpl w:val="5600DA34"/>
    <w:lvl w:ilvl="0" w:tplc="969EC836">
      <w:start w:val="1"/>
      <w:numFmt w:val="bullet"/>
      <w:lvlText w:val="-"/>
      <w:lvlJc w:val="left"/>
      <w:pPr>
        <w:ind w:left="720" w:hanging="360"/>
      </w:pPr>
      <w:rPr>
        <w:rFonts w:ascii="Calibri" w:hAnsi="Calibri" w:hint="default"/>
      </w:rPr>
    </w:lvl>
    <w:lvl w:ilvl="1" w:tplc="452AC564">
      <w:start w:val="1"/>
      <w:numFmt w:val="bullet"/>
      <w:lvlText w:val="o"/>
      <w:lvlJc w:val="left"/>
      <w:pPr>
        <w:ind w:left="1440" w:hanging="360"/>
      </w:pPr>
      <w:rPr>
        <w:rFonts w:ascii="Courier New" w:hAnsi="Courier New" w:hint="default"/>
      </w:rPr>
    </w:lvl>
    <w:lvl w:ilvl="2" w:tplc="0BCE6334">
      <w:start w:val="1"/>
      <w:numFmt w:val="bullet"/>
      <w:lvlText w:val=""/>
      <w:lvlJc w:val="left"/>
      <w:pPr>
        <w:ind w:left="2160" w:hanging="360"/>
      </w:pPr>
      <w:rPr>
        <w:rFonts w:ascii="Wingdings" w:hAnsi="Wingdings" w:hint="default"/>
      </w:rPr>
    </w:lvl>
    <w:lvl w:ilvl="3" w:tplc="4B28B080">
      <w:start w:val="1"/>
      <w:numFmt w:val="bullet"/>
      <w:lvlText w:val=""/>
      <w:lvlJc w:val="left"/>
      <w:pPr>
        <w:ind w:left="2880" w:hanging="360"/>
      </w:pPr>
      <w:rPr>
        <w:rFonts w:ascii="Symbol" w:hAnsi="Symbol" w:hint="default"/>
      </w:rPr>
    </w:lvl>
    <w:lvl w:ilvl="4" w:tplc="D30E590C">
      <w:start w:val="1"/>
      <w:numFmt w:val="bullet"/>
      <w:lvlText w:val="o"/>
      <w:lvlJc w:val="left"/>
      <w:pPr>
        <w:ind w:left="3600" w:hanging="360"/>
      </w:pPr>
      <w:rPr>
        <w:rFonts w:ascii="Courier New" w:hAnsi="Courier New" w:hint="default"/>
      </w:rPr>
    </w:lvl>
    <w:lvl w:ilvl="5" w:tplc="951E2144">
      <w:start w:val="1"/>
      <w:numFmt w:val="bullet"/>
      <w:lvlText w:val=""/>
      <w:lvlJc w:val="left"/>
      <w:pPr>
        <w:ind w:left="4320" w:hanging="360"/>
      </w:pPr>
      <w:rPr>
        <w:rFonts w:ascii="Wingdings" w:hAnsi="Wingdings" w:hint="default"/>
      </w:rPr>
    </w:lvl>
    <w:lvl w:ilvl="6" w:tplc="895E4D02">
      <w:start w:val="1"/>
      <w:numFmt w:val="bullet"/>
      <w:lvlText w:val=""/>
      <w:lvlJc w:val="left"/>
      <w:pPr>
        <w:ind w:left="5040" w:hanging="360"/>
      </w:pPr>
      <w:rPr>
        <w:rFonts w:ascii="Symbol" w:hAnsi="Symbol" w:hint="default"/>
      </w:rPr>
    </w:lvl>
    <w:lvl w:ilvl="7" w:tplc="A6A23EEC">
      <w:start w:val="1"/>
      <w:numFmt w:val="bullet"/>
      <w:lvlText w:val="o"/>
      <w:lvlJc w:val="left"/>
      <w:pPr>
        <w:ind w:left="5760" w:hanging="360"/>
      </w:pPr>
      <w:rPr>
        <w:rFonts w:ascii="Courier New" w:hAnsi="Courier New" w:hint="default"/>
      </w:rPr>
    </w:lvl>
    <w:lvl w:ilvl="8" w:tplc="5EEE5D8E">
      <w:start w:val="1"/>
      <w:numFmt w:val="bullet"/>
      <w:lvlText w:val=""/>
      <w:lvlJc w:val="left"/>
      <w:pPr>
        <w:ind w:left="6480" w:hanging="360"/>
      </w:pPr>
      <w:rPr>
        <w:rFonts w:ascii="Wingdings" w:hAnsi="Wingdings" w:hint="default"/>
      </w:rPr>
    </w:lvl>
  </w:abstractNum>
  <w:abstractNum w:abstractNumId="6" w15:restartNumberingAfterBreak="0">
    <w:nsid w:val="308238C4"/>
    <w:multiLevelType w:val="hybridMultilevel"/>
    <w:tmpl w:val="C966E760"/>
    <w:lvl w:ilvl="0" w:tplc="125A8B02">
      <w:start w:val="1"/>
      <w:numFmt w:val="bullet"/>
      <w:lvlText w:val="-"/>
      <w:lvlJc w:val="left"/>
      <w:pPr>
        <w:ind w:left="720" w:hanging="360"/>
      </w:pPr>
      <w:rPr>
        <w:rFonts w:ascii="Calibri" w:hAnsi="Calibri" w:hint="default"/>
      </w:rPr>
    </w:lvl>
    <w:lvl w:ilvl="1" w:tplc="36BE9890">
      <w:start w:val="1"/>
      <w:numFmt w:val="bullet"/>
      <w:lvlText w:val="o"/>
      <w:lvlJc w:val="left"/>
      <w:pPr>
        <w:ind w:left="1440" w:hanging="360"/>
      </w:pPr>
      <w:rPr>
        <w:rFonts w:ascii="Courier New" w:hAnsi="Courier New" w:hint="default"/>
      </w:rPr>
    </w:lvl>
    <w:lvl w:ilvl="2" w:tplc="4580CD46">
      <w:start w:val="1"/>
      <w:numFmt w:val="bullet"/>
      <w:lvlText w:val=""/>
      <w:lvlJc w:val="left"/>
      <w:pPr>
        <w:ind w:left="2160" w:hanging="360"/>
      </w:pPr>
      <w:rPr>
        <w:rFonts w:ascii="Wingdings" w:hAnsi="Wingdings" w:hint="default"/>
      </w:rPr>
    </w:lvl>
    <w:lvl w:ilvl="3" w:tplc="9774C6B6">
      <w:start w:val="1"/>
      <w:numFmt w:val="bullet"/>
      <w:lvlText w:val=""/>
      <w:lvlJc w:val="left"/>
      <w:pPr>
        <w:ind w:left="2880" w:hanging="360"/>
      </w:pPr>
      <w:rPr>
        <w:rFonts w:ascii="Symbol" w:hAnsi="Symbol" w:hint="default"/>
      </w:rPr>
    </w:lvl>
    <w:lvl w:ilvl="4" w:tplc="D4B6EE2A">
      <w:start w:val="1"/>
      <w:numFmt w:val="bullet"/>
      <w:lvlText w:val="o"/>
      <w:lvlJc w:val="left"/>
      <w:pPr>
        <w:ind w:left="3600" w:hanging="360"/>
      </w:pPr>
      <w:rPr>
        <w:rFonts w:ascii="Courier New" w:hAnsi="Courier New" w:hint="default"/>
      </w:rPr>
    </w:lvl>
    <w:lvl w:ilvl="5" w:tplc="68502C40">
      <w:start w:val="1"/>
      <w:numFmt w:val="bullet"/>
      <w:lvlText w:val=""/>
      <w:lvlJc w:val="left"/>
      <w:pPr>
        <w:ind w:left="4320" w:hanging="360"/>
      </w:pPr>
      <w:rPr>
        <w:rFonts w:ascii="Wingdings" w:hAnsi="Wingdings" w:hint="default"/>
      </w:rPr>
    </w:lvl>
    <w:lvl w:ilvl="6" w:tplc="D83AA058">
      <w:start w:val="1"/>
      <w:numFmt w:val="bullet"/>
      <w:lvlText w:val=""/>
      <w:lvlJc w:val="left"/>
      <w:pPr>
        <w:ind w:left="5040" w:hanging="360"/>
      </w:pPr>
      <w:rPr>
        <w:rFonts w:ascii="Symbol" w:hAnsi="Symbol" w:hint="default"/>
      </w:rPr>
    </w:lvl>
    <w:lvl w:ilvl="7" w:tplc="F75898E6">
      <w:start w:val="1"/>
      <w:numFmt w:val="bullet"/>
      <w:lvlText w:val="o"/>
      <w:lvlJc w:val="left"/>
      <w:pPr>
        <w:ind w:left="5760" w:hanging="360"/>
      </w:pPr>
      <w:rPr>
        <w:rFonts w:ascii="Courier New" w:hAnsi="Courier New" w:hint="default"/>
      </w:rPr>
    </w:lvl>
    <w:lvl w:ilvl="8" w:tplc="2F646CC8">
      <w:start w:val="1"/>
      <w:numFmt w:val="bullet"/>
      <w:lvlText w:val=""/>
      <w:lvlJc w:val="left"/>
      <w:pPr>
        <w:ind w:left="6480" w:hanging="360"/>
      </w:pPr>
      <w:rPr>
        <w:rFonts w:ascii="Wingdings" w:hAnsi="Wingdings" w:hint="default"/>
      </w:rPr>
    </w:lvl>
  </w:abstractNum>
  <w:abstractNum w:abstractNumId="7" w15:restartNumberingAfterBreak="0">
    <w:nsid w:val="3562404F"/>
    <w:multiLevelType w:val="hybridMultilevel"/>
    <w:tmpl w:val="BFA80918"/>
    <w:lvl w:ilvl="0" w:tplc="44FA875E">
      <w:start w:val="1"/>
      <w:numFmt w:val="bullet"/>
      <w:lvlText w:val="-"/>
      <w:lvlJc w:val="left"/>
      <w:pPr>
        <w:ind w:left="720" w:hanging="360"/>
      </w:pPr>
      <w:rPr>
        <w:rFonts w:ascii="Calibri" w:hAnsi="Calibri" w:hint="default"/>
      </w:rPr>
    </w:lvl>
    <w:lvl w:ilvl="1" w:tplc="9D180B1E">
      <w:start w:val="1"/>
      <w:numFmt w:val="bullet"/>
      <w:lvlText w:val="o"/>
      <w:lvlJc w:val="left"/>
      <w:pPr>
        <w:ind w:left="1440" w:hanging="360"/>
      </w:pPr>
      <w:rPr>
        <w:rFonts w:ascii="Courier New" w:hAnsi="Courier New" w:hint="default"/>
      </w:rPr>
    </w:lvl>
    <w:lvl w:ilvl="2" w:tplc="FBC8B320">
      <w:start w:val="1"/>
      <w:numFmt w:val="bullet"/>
      <w:lvlText w:val=""/>
      <w:lvlJc w:val="left"/>
      <w:pPr>
        <w:ind w:left="2160" w:hanging="360"/>
      </w:pPr>
      <w:rPr>
        <w:rFonts w:ascii="Wingdings" w:hAnsi="Wingdings" w:hint="default"/>
      </w:rPr>
    </w:lvl>
    <w:lvl w:ilvl="3" w:tplc="4BA8E7AE">
      <w:start w:val="1"/>
      <w:numFmt w:val="bullet"/>
      <w:lvlText w:val=""/>
      <w:lvlJc w:val="left"/>
      <w:pPr>
        <w:ind w:left="2880" w:hanging="360"/>
      </w:pPr>
      <w:rPr>
        <w:rFonts w:ascii="Symbol" w:hAnsi="Symbol" w:hint="default"/>
      </w:rPr>
    </w:lvl>
    <w:lvl w:ilvl="4" w:tplc="B674EFC4">
      <w:start w:val="1"/>
      <w:numFmt w:val="bullet"/>
      <w:lvlText w:val="o"/>
      <w:lvlJc w:val="left"/>
      <w:pPr>
        <w:ind w:left="3600" w:hanging="360"/>
      </w:pPr>
      <w:rPr>
        <w:rFonts w:ascii="Courier New" w:hAnsi="Courier New" w:hint="default"/>
      </w:rPr>
    </w:lvl>
    <w:lvl w:ilvl="5" w:tplc="E9E0EE78">
      <w:start w:val="1"/>
      <w:numFmt w:val="bullet"/>
      <w:lvlText w:val=""/>
      <w:lvlJc w:val="left"/>
      <w:pPr>
        <w:ind w:left="4320" w:hanging="360"/>
      </w:pPr>
      <w:rPr>
        <w:rFonts w:ascii="Wingdings" w:hAnsi="Wingdings" w:hint="default"/>
      </w:rPr>
    </w:lvl>
    <w:lvl w:ilvl="6" w:tplc="025CF218">
      <w:start w:val="1"/>
      <w:numFmt w:val="bullet"/>
      <w:lvlText w:val=""/>
      <w:lvlJc w:val="left"/>
      <w:pPr>
        <w:ind w:left="5040" w:hanging="360"/>
      </w:pPr>
      <w:rPr>
        <w:rFonts w:ascii="Symbol" w:hAnsi="Symbol" w:hint="default"/>
      </w:rPr>
    </w:lvl>
    <w:lvl w:ilvl="7" w:tplc="388A7A30">
      <w:start w:val="1"/>
      <w:numFmt w:val="bullet"/>
      <w:lvlText w:val="o"/>
      <w:lvlJc w:val="left"/>
      <w:pPr>
        <w:ind w:left="5760" w:hanging="360"/>
      </w:pPr>
      <w:rPr>
        <w:rFonts w:ascii="Courier New" w:hAnsi="Courier New" w:hint="default"/>
      </w:rPr>
    </w:lvl>
    <w:lvl w:ilvl="8" w:tplc="1EA29854">
      <w:start w:val="1"/>
      <w:numFmt w:val="bullet"/>
      <w:lvlText w:val=""/>
      <w:lvlJc w:val="left"/>
      <w:pPr>
        <w:ind w:left="6480" w:hanging="360"/>
      </w:pPr>
      <w:rPr>
        <w:rFonts w:ascii="Wingdings" w:hAnsi="Wingdings" w:hint="default"/>
      </w:rPr>
    </w:lvl>
  </w:abstractNum>
  <w:abstractNum w:abstractNumId="8" w15:restartNumberingAfterBreak="0">
    <w:nsid w:val="3F765AFC"/>
    <w:multiLevelType w:val="hybridMultilevel"/>
    <w:tmpl w:val="5F803808"/>
    <w:lvl w:ilvl="0" w:tplc="169CD352">
      <w:start w:val="1"/>
      <w:numFmt w:val="bullet"/>
      <w:lvlText w:val="-"/>
      <w:lvlJc w:val="left"/>
      <w:pPr>
        <w:ind w:left="720" w:hanging="360"/>
      </w:pPr>
      <w:rPr>
        <w:rFonts w:ascii="Calibri" w:hAnsi="Calibri" w:hint="default"/>
      </w:rPr>
    </w:lvl>
    <w:lvl w:ilvl="1" w:tplc="8E76C4F4">
      <w:start w:val="1"/>
      <w:numFmt w:val="bullet"/>
      <w:lvlText w:val="o"/>
      <w:lvlJc w:val="left"/>
      <w:pPr>
        <w:ind w:left="1440" w:hanging="360"/>
      </w:pPr>
      <w:rPr>
        <w:rFonts w:ascii="Courier New" w:hAnsi="Courier New" w:hint="default"/>
      </w:rPr>
    </w:lvl>
    <w:lvl w:ilvl="2" w:tplc="4B927270">
      <w:start w:val="1"/>
      <w:numFmt w:val="bullet"/>
      <w:lvlText w:val=""/>
      <w:lvlJc w:val="left"/>
      <w:pPr>
        <w:ind w:left="2160" w:hanging="360"/>
      </w:pPr>
      <w:rPr>
        <w:rFonts w:ascii="Wingdings" w:hAnsi="Wingdings" w:hint="default"/>
      </w:rPr>
    </w:lvl>
    <w:lvl w:ilvl="3" w:tplc="C5200450">
      <w:start w:val="1"/>
      <w:numFmt w:val="bullet"/>
      <w:lvlText w:val=""/>
      <w:lvlJc w:val="left"/>
      <w:pPr>
        <w:ind w:left="2880" w:hanging="360"/>
      </w:pPr>
      <w:rPr>
        <w:rFonts w:ascii="Symbol" w:hAnsi="Symbol" w:hint="default"/>
      </w:rPr>
    </w:lvl>
    <w:lvl w:ilvl="4" w:tplc="D890B5EA">
      <w:start w:val="1"/>
      <w:numFmt w:val="bullet"/>
      <w:lvlText w:val="o"/>
      <w:lvlJc w:val="left"/>
      <w:pPr>
        <w:ind w:left="3600" w:hanging="360"/>
      </w:pPr>
      <w:rPr>
        <w:rFonts w:ascii="Courier New" w:hAnsi="Courier New" w:hint="default"/>
      </w:rPr>
    </w:lvl>
    <w:lvl w:ilvl="5" w:tplc="7522268E">
      <w:start w:val="1"/>
      <w:numFmt w:val="bullet"/>
      <w:lvlText w:val=""/>
      <w:lvlJc w:val="left"/>
      <w:pPr>
        <w:ind w:left="4320" w:hanging="360"/>
      </w:pPr>
      <w:rPr>
        <w:rFonts w:ascii="Wingdings" w:hAnsi="Wingdings" w:hint="default"/>
      </w:rPr>
    </w:lvl>
    <w:lvl w:ilvl="6" w:tplc="7CB002FC">
      <w:start w:val="1"/>
      <w:numFmt w:val="bullet"/>
      <w:lvlText w:val=""/>
      <w:lvlJc w:val="left"/>
      <w:pPr>
        <w:ind w:left="5040" w:hanging="360"/>
      </w:pPr>
      <w:rPr>
        <w:rFonts w:ascii="Symbol" w:hAnsi="Symbol" w:hint="default"/>
      </w:rPr>
    </w:lvl>
    <w:lvl w:ilvl="7" w:tplc="FF8A062E">
      <w:start w:val="1"/>
      <w:numFmt w:val="bullet"/>
      <w:lvlText w:val="o"/>
      <w:lvlJc w:val="left"/>
      <w:pPr>
        <w:ind w:left="5760" w:hanging="360"/>
      </w:pPr>
      <w:rPr>
        <w:rFonts w:ascii="Courier New" w:hAnsi="Courier New" w:hint="default"/>
      </w:rPr>
    </w:lvl>
    <w:lvl w:ilvl="8" w:tplc="5748E8B2">
      <w:start w:val="1"/>
      <w:numFmt w:val="bullet"/>
      <w:lvlText w:val=""/>
      <w:lvlJc w:val="left"/>
      <w:pPr>
        <w:ind w:left="6480" w:hanging="360"/>
      </w:pPr>
      <w:rPr>
        <w:rFonts w:ascii="Wingdings" w:hAnsi="Wingdings" w:hint="default"/>
      </w:rPr>
    </w:lvl>
  </w:abstractNum>
  <w:abstractNum w:abstractNumId="9" w15:restartNumberingAfterBreak="0">
    <w:nsid w:val="4E5F5167"/>
    <w:multiLevelType w:val="hybridMultilevel"/>
    <w:tmpl w:val="57F48798"/>
    <w:lvl w:ilvl="0" w:tplc="4640769A">
      <w:start w:val="1"/>
      <w:numFmt w:val="decimal"/>
      <w:lvlText w:val="%1."/>
      <w:lvlJc w:val="left"/>
      <w:pPr>
        <w:ind w:left="720" w:hanging="360"/>
      </w:pPr>
    </w:lvl>
    <w:lvl w:ilvl="1" w:tplc="702A6E1E">
      <w:start w:val="1"/>
      <w:numFmt w:val="lowerLetter"/>
      <w:lvlText w:val="%2."/>
      <w:lvlJc w:val="left"/>
      <w:pPr>
        <w:ind w:left="1440" w:hanging="360"/>
      </w:pPr>
    </w:lvl>
    <w:lvl w:ilvl="2" w:tplc="F482C03C">
      <w:start w:val="1"/>
      <w:numFmt w:val="lowerRoman"/>
      <w:lvlText w:val="%3."/>
      <w:lvlJc w:val="right"/>
      <w:pPr>
        <w:ind w:left="2160" w:hanging="180"/>
      </w:pPr>
    </w:lvl>
    <w:lvl w:ilvl="3" w:tplc="6298D8C2">
      <w:start w:val="1"/>
      <w:numFmt w:val="decimal"/>
      <w:lvlText w:val="%4."/>
      <w:lvlJc w:val="left"/>
      <w:pPr>
        <w:ind w:left="2880" w:hanging="360"/>
      </w:pPr>
    </w:lvl>
    <w:lvl w:ilvl="4" w:tplc="217ABE42">
      <w:start w:val="1"/>
      <w:numFmt w:val="lowerLetter"/>
      <w:lvlText w:val="%5."/>
      <w:lvlJc w:val="left"/>
      <w:pPr>
        <w:ind w:left="3600" w:hanging="360"/>
      </w:pPr>
    </w:lvl>
    <w:lvl w:ilvl="5" w:tplc="73AC0436">
      <w:start w:val="1"/>
      <w:numFmt w:val="lowerRoman"/>
      <w:lvlText w:val="%6."/>
      <w:lvlJc w:val="right"/>
      <w:pPr>
        <w:ind w:left="4320" w:hanging="180"/>
      </w:pPr>
    </w:lvl>
    <w:lvl w:ilvl="6" w:tplc="F25C7652">
      <w:start w:val="1"/>
      <w:numFmt w:val="decimal"/>
      <w:lvlText w:val="%7."/>
      <w:lvlJc w:val="left"/>
      <w:pPr>
        <w:ind w:left="5040" w:hanging="360"/>
      </w:pPr>
    </w:lvl>
    <w:lvl w:ilvl="7" w:tplc="993E60CC">
      <w:start w:val="1"/>
      <w:numFmt w:val="lowerLetter"/>
      <w:lvlText w:val="%8."/>
      <w:lvlJc w:val="left"/>
      <w:pPr>
        <w:ind w:left="5760" w:hanging="360"/>
      </w:pPr>
    </w:lvl>
    <w:lvl w:ilvl="8" w:tplc="0AD26300">
      <w:start w:val="1"/>
      <w:numFmt w:val="lowerRoman"/>
      <w:lvlText w:val="%9."/>
      <w:lvlJc w:val="right"/>
      <w:pPr>
        <w:ind w:left="6480" w:hanging="180"/>
      </w:pPr>
    </w:lvl>
  </w:abstractNum>
  <w:abstractNum w:abstractNumId="10" w15:restartNumberingAfterBreak="0">
    <w:nsid w:val="5E606656"/>
    <w:multiLevelType w:val="hybridMultilevel"/>
    <w:tmpl w:val="6F78C8BC"/>
    <w:lvl w:ilvl="0" w:tplc="6D3AE58A">
      <w:start w:val="1"/>
      <w:numFmt w:val="bullet"/>
      <w:lvlText w:val="-"/>
      <w:lvlJc w:val="left"/>
      <w:pPr>
        <w:ind w:left="720" w:hanging="360"/>
      </w:pPr>
      <w:rPr>
        <w:rFonts w:ascii="Calibri" w:hAnsi="Calibri" w:hint="default"/>
      </w:rPr>
    </w:lvl>
    <w:lvl w:ilvl="1" w:tplc="747E8CDC">
      <w:start w:val="1"/>
      <w:numFmt w:val="bullet"/>
      <w:lvlText w:val="o"/>
      <w:lvlJc w:val="left"/>
      <w:pPr>
        <w:ind w:left="1440" w:hanging="360"/>
      </w:pPr>
      <w:rPr>
        <w:rFonts w:ascii="Courier New" w:hAnsi="Courier New" w:hint="default"/>
      </w:rPr>
    </w:lvl>
    <w:lvl w:ilvl="2" w:tplc="686A1FAC">
      <w:start w:val="1"/>
      <w:numFmt w:val="bullet"/>
      <w:lvlText w:val=""/>
      <w:lvlJc w:val="left"/>
      <w:pPr>
        <w:ind w:left="2160" w:hanging="360"/>
      </w:pPr>
      <w:rPr>
        <w:rFonts w:ascii="Wingdings" w:hAnsi="Wingdings" w:hint="default"/>
      </w:rPr>
    </w:lvl>
    <w:lvl w:ilvl="3" w:tplc="59F69188">
      <w:start w:val="1"/>
      <w:numFmt w:val="bullet"/>
      <w:lvlText w:val=""/>
      <w:lvlJc w:val="left"/>
      <w:pPr>
        <w:ind w:left="2880" w:hanging="360"/>
      </w:pPr>
      <w:rPr>
        <w:rFonts w:ascii="Symbol" w:hAnsi="Symbol" w:hint="default"/>
      </w:rPr>
    </w:lvl>
    <w:lvl w:ilvl="4" w:tplc="99306622">
      <w:start w:val="1"/>
      <w:numFmt w:val="bullet"/>
      <w:lvlText w:val="o"/>
      <w:lvlJc w:val="left"/>
      <w:pPr>
        <w:ind w:left="3600" w:hanging="360"/>
      </w:pPr>
      <w:rPr>
        <w:rFonts w:ascii="Courier New" w:hAnsi="Courier New" w:hint="default"/>
      </w:rPr>
    </w:lvl>
    <w:lvl w:ilvl="5" w:tplc="C01EC6F0">
      <w:start w:val="1"/>
      <w:numFmt w:val="bullet"/>
      <w:lvlText w:val=""/>
      <w:lvlJc w:val="left"/>
      <w:pPr>
        <w:ind w:left="4320" w:hanging="360"/>
      </w:pPr>
      <w:rPr>
        <w:rFonts w:ascii="Wingdings" w:hAnsi="Wingdings" w:hint="default"/>
      </w:rPr>
    </w:lvl>
    <w:lvl w:ilvl="6" w:tplc="716260F4">
      <w:start w:val="1"/>
      <w:numFmt w:val="bullet"/>
      <w:lvlText w:val=""/>
      <w:lvlJc w:val="left"/>
      <w:pPr>
        <w:ind w:left="5040" w:hanging="360"/>
      </w:pPr>
      <w:rPr>
        <w:rFonts w:ascii="Symbol" w:hAnsi="Symbol" w:hint="default"/>
      </w:rPr>
    </w:lvl>
    <w:lvl w:ilvl="7" w:tplc="09A69FD4">
      <w:start w:val="1"/>
      <w:numFmt w:val="bullet"/>
      <w:lvlText w:val="o"/>
      <w:lvlJc w:val="left"/>
      <w:pPr>
        <w:ind w:left="5760" w:hanging="360"/>
      </w:pPr>
      <w:rPr>
        <w:rFonts w:ascii="Courier New" w:hAnsi="Courier New" w:hint="default"/>
      </w:rPr>
    </w:lvl>
    <w:lvl w:ilvl="8" w:tplc="2586E3A4">
      <w:start w:val="1"/>
      <w:numFmt w:val="bullet"/>
      <w:lvlText w:val=""/>
      <w:lvlJc w:val="left"/>
      <w:pPr>
        <w:ind w:left="6480" w:hanging="360"/>
      </w:pPr>
      <w:rPr>
        <w:rFonts w:ascii="Wingdings" w:hAnsi="Wingdings" w:hint="default"/>
      </w:rPr>
    </w:lvl>
  </w:abstractNum>
  <w:abstractNum w:abstractNumId="11" w15:restartNumberingAfterBreak="0">
    <w:nsid w:val="5F6323C4"/>
    <w:multiLevelType w:val="hybridMultilevel"/>
    <w:tmpl w:val="9D96FA30"/>
    <w:lvl w:ilvl="0" w:tplc="A77A9B60">
      <w:start w:val="1"/>
      <w:numFmt w:val="bullet"/>
      <w:lvlText w:val="-"/>
      <w:lvlJc w:val="left"/>
      <w:pPr>
        <w:ind w:left="720" w:hanging="360"/>
      </w:pPr>
      <w:rPr>
        <w:rFonts w:ascii="Calibri" w:hAnsi="Calibri" w:hint="default"/>
      </w:rPr>
    </w:lvl>
    <w:lvl w:ilvl="1" w:tplc="28B280F4">
      <w:start w:val="1"/>
      <w:numFmt w:val="bullet"/>
      <w:lvlText w:val="o"/>
      <w:lvlJc w:val="left"/>
      <w:pPr>
        <w:ind w:left="1440" w:hanging="360"/>
      </w:pPr>
      <w:rPr>
        <w:rFonts w:ascii="Courier New" w:hAnsi="Courier New" w:hint="default"/>
      </w:rPr>
    </w:lvl>
    <w:lvl w:ilvl="2" w:tplc="9AA07A62">
      <w:start w:val="1"/>
      <w:numFmt w:val="bullet"/>
      <w:lvlText w:val=""/>
      <w:lvlJc w:val="left"/>
      <w:pPr>
        <w:ind w:left="2160" w:hanging="360"/>
      </w:pPr>
      <w:rPr>
        <w:rFonts w:ascii="Wingdings" w:hAnsi="Wingdings" w:hint="default"/>
      </w:rPr>
    </w:lvl>
    <w:lvl w:ilvl="3" w:tplc="5D86442E">
      <w:start w:val="1"/>
      <w:numFmt w:val="bullet"/>
      <w:lvlText w:val=""/>
      <w:lvlJc w:val="left"/>
      <w:pPr>
        <w:ind w:left="2880" w:hanging="360"/>
      </w:pPr>
      <w:rPr>
        <w:rFonts w:ascii="Symbol" w:hAnsi="Symbol" w:hint="default"/>
      </w:rPr>
    </w:lvl>
    <w:lvl w:ilvl="4" w:tplc="FD4624D4">
      <w:start w:val="1"/>
      <w:numFmt w:val="bullet"/>
      <w:lvlText w:val="o"/>
      <w:lvlJc w:val="left"/>
      <w:pPr>
        <w:ind w:left="3600" w:hanging="360"/>
      </w:pPr>
      <w:rPr>
        <w:rFonts w:ascii="Courier New" w:hAnsi="Courier New" w:hint="default"/>
      </w:rPr>
    </w:lvl>
    <w:lvl w:ilvl="5" w:tplc="2FECD988">
      <w:start w:val="1"/>
      <w:numFmt w:val="bullet"/>
      <w:lvlText w:val=""/>
      <w:lvlJc w:val="left"/>
      <w:pPr>
        <w:ind w:left="4320" w:hanging="360"/>
      </w:pPr>
      <w:rPr>
        <w:rFonts w:ascii="Wingdings" w:hAnsi="Wingdings" w:hint="default"/>
      </w:rPr>
    </w:lvl>
    <w:lvl w:ilvl="6" w:tplc="BA9A4EEC">
      <w:start w:val="1"/>
      <w:numFmt w:val="bullet"/>
      <w:lvlText w:val=""/>
      <w:lvlJc w:val="left"/>
      <w:pPr>
        <w:ind w:left="5040" w:hanging="360"/>
      </w:pPr>
      <w:rPr>
        <w:rFonts w:ascii="Symbol" w:hAnsi="Symbol" w:hint="default"/>
      </w:rPr>
    </w:lvl>
    <w:lvl w:ilvl="7" w:tplc="21D2D6FC">
      <w:start w:val="1"/>
      <w:numFmt w:val="bullet"/>
      <w:lvlText w:val="o"/>
      <w:lvlJc w:val="left"/>
      <w:pPr>
        <w:ind w:left="5760" w:hanging="360"/>
      </w:pPr>
      <w:rPr>
        <w:rFonts w:ascii="Courier New" w:hAnsi="Courier New" w:hint="default"/>
      </w:rPr>
    </w:lvl>
    <w:lvl w:ilvl="8" w:tplc="064284BA">
      <w:start w:val="1"/>
      <w:numFmt w:val="bullet"/>
      <w:lvlText w:val=""/>
      <w:lvlJc w:val="left"/>
      <w:pPr>
        <w:ind w:left="6480" w:hanging="360"/>
      </w:pPr>
      <w:rPr>
        <w:rFonts w:ascii="Wingdings" w:hAnsi="Wingdings" w:hint="default"/>
      </w:rPr>
    </w:lvl>
  </w:abstractNum>
  <w:abstractNum w:abstractNumId="12" w15:restartNumberingAfterBreak="0">
    <w:nsid w:val="635624BE"/>
    <w:multiLevelType w:val="hybridMultilevel"/>
    <w:tmpl w:val="757807B6"/>
    <w:lvl w:ilvl="0" w:tplc="1A128D18">
      <w:start w:val="1"/>
      <w:numFmt w:val="bullet"/>
      <w:lvlText w:val="-"/>
      <w:lvlJc w:val="left"/>
      <w:pPr>
        <w:ind w:left="720" w:hanging="360"/>
      </w:pPr>
      <w:rPr>
        <w:rFonts w:ascii="Calibri" w:hAnsi="Calibri" w:hint="default"/>
      </w:rPr>
    </w:lvl>
    <w:lvl w:ilvl="1" w:tplc="568A6488">
      <w:start w:val="1"/>
      <w:numFmt w:val="bullet"/>
      <w:lvlText w:val="o"/>
      <w:lvlJc w:val="left"/>
      <w:pPr>
        <w:ind w:left="1440" w:hanging="360"/>
      </w:pPr>
      <w:rPr>
        <w:rFonts w:ascii="Courier New" w:hAnsi="Courier New" w:hint="default"/>
      </w:rPr>
    </w:lvl>
    <w:lvl w:ilvl="2" w:tplc="413E74EA">
      <w:start w:val="1"/>
      <w:numFmt w:val="bullet"/>
      <w:lvlText w:val=""/>
      <w:lvlJc w:val="left"/>
      <w:pPr>
        <w:ind w:left="2160" w:hanging="360"/>
      </w:pPr>
      <w:rPr>
        <w:rFonts w:ascii="Wingdings" w:hAnsi="Wingdings" w:hint="default"/>
      </w:rPr>
    </w:lvl>
    <w:lvl w:ilvl="3" w:tplc="DA768ED0">
      <w:start w:val="1"/>
      <w:numFmt w:val="bullet"/>
      <w:lvlText w:val=""/>
      <w:lvlJc w:val="left"/>
      <w:pPr>
        <w:ind w:left="2880" w:hanging="360"/>
      </w:pPr>
      <w:rPr>
        <w:rFonts w:ascii="Symbol" w:hAnsi="Symbol" w:hint="default"/>
      </w:rPr>
    </w:lvl>
    <w:lvl w:ilvl="4" w:tplc="3F0E7E0E">
      <w:start w:val="1"/>
      <w:numFmt w:val="bullet"/>
      <w:lvlText w:val="o"/>
      <w:lvlJc w:val="left"/>
      <w:pPr>
        <w:ind w:left="3600" w:hanging="360"/>
      </w:pPr>
      <w:rPr>
        <w:rFonts w:ascii="Courier New" w:hAnsi="Courier New" w:hint="default"/>
      </w:rPr>
    </w:lvl>
    <w:lvl w:ilvl="5" w:tplc="62BE775C">
      <w:start w:val="1"/>
      <w:numFmt w:val="bullet"/>
      <w:lvlText w:val=""/>
      <w:lvlJc w:val="left"/>
      <w:pPr>
        <w:ind w:left="4320" w:hanging="360"/>
      </w:pPr>
      <w:rPr>
        <w:rFonts w:ascii="Wingdings" w:hAnsi="Wingdings" w:hint="default"/>
      </w:rPr>
    </w:lvl>
    <w:lvl w:ilvl="6" w:tplc="69E024A8">
      <w:start w:val="1"/>
      <w:numFmt w:val="bullet"/>
      <w:lvlText w:val=""/>
      <w:lvlJc w:val="left"/>
      <w:pPr>
        <w:ind w:left="5040" w:hanging="360"/>
      </w:pPr>
      <w:rPr>
        <w:rFonts w:ascii="Symbol" w:hAnsi="Symbol" w:hint="default"/>
      </w:rPr>
    </w:lvl>
    <w:lvl w:ilvl="7" w:tplc="B7AE09A0">
      <w:start w:val="1"/>
      <w:numFmt w:val="bullet"/>
      <w:lvlText w:val="o"/>
      <w:lvlJc w:val="left"/>
      <w:pPr>
        <w:ind w:left="5760" w:hanging="360"/>
      </w:pPr>
      <w:rPr>
        <w:rFonts w:ascii="Courier New" w:hAnsi="Courier New" w:hint="default"/>
      </w:rPr>
    </w:lvl>
    <w:lvl w:ilvl="8" w:tplc="9266D9CA">
      <w:start w:val="1"/>
      <w:numFmt w:val="bullet"/>
      <w:lvlText w:val=""/>
      <w:lvlJc w:val="left"/>
      <w:pPr>
        <w:ind w:left="6480" w:hanging="360"/>
      </w:pPr>
      <w:rPr>
        <w:rFonts w:ascii="Wingdings" w:hAnsi="Wingdings" w:hint="default"/>
      </w:rPr>
    </w:lvl>
  </w:abstractNum>
  <w:abstractNum w:abstractNumId="13" w15:restartNumberingAfterBreak="0">
    <w:nsid w:val="68CC272E"/>
    <w:multiLevelType w:val="hybridMultilevel"/>
    <w:tmpl w:val="8A4CEFEC"/>
    <w:lvl w:ilvl="0" w:tplc="BA723FBC">
      <w:start w:val="1"/>
      <w:numFmt w:val="bullet"/>
      <w:lvlText w:val="-"/>
      <w:lvlJc w:val="left"/>
      <w:pPr>
        <w:ind w:left="720" w:hanging="360"/>
      </w:pPr>
      <w:rPr>
        <w:rFonts w:ascii="Calibri" w:hAnsi="Calibri" w:hint="default"/>
      </w:rPr>
    </w:lvl>
    <w:lvl w:ilvl="1" w:tplc="5C8CE062">
      <w:start w:val="1"/>
      <w:numFmt w:val="bullet"/>
      <w:lvlText w:val="o"/>
      <w:lvlJc w:val="left"/>
      <w:pPr>
        <w:ind w:left="1440" w:hanging="360"/>
      </w:pPr>
      <w:rPr>
        <w:rFonts w:ascii="Courier New" w:hAnsi="Courier New" w:hint="default"/>
      </w:rPr>
    </w:lvl>
    <w:lvl w:ilvl="2" w:tplc="C0366EF2">
      <w:start w:val="1"/>
      <w:numFmt w:val="bullet"/>
      <w:lvlText w:val=""/>
      <w:lvlJc w:val="left"/>
      <w:pPr>
        <w:ind w:left="2160" w:hanging="360"/>
      </w:pPr>
      <w:rPr>
        <w:rFonts w:ascii="Wingdings" w:hAnsi="Wingdings" w:hint="default"/>
      </w:rPr>
    </w:lvl>
    <w:lvl w:ilvl="3" w:tplc="93EC5E0E">
      <w:start w:val="1"/>
      <w:numFmt w:val="bullet"/>
      <w:lvlText w:val=""/>
      <w:lvlJc w:val="left"/>
      <w:pPr>
        <w:ind w:left="2880" w:hanging="360"/>
      </w:pPr>
      <w:rPr>
        <w:rFonts w:ascii="Symbol" w:hAnsi="Symbol" w:hint="default"/>
      </w:rPr>
    </w:lvl>
    <w:lvl w:ilvl="4" w:tplc="B4F6DA40">
      <w:start w:val="1"/>
      <w:numFmt w:val="bullet"/>
      <w:lvlText w:val="o"/>
      <w:lvlJc w:val="left"/>
      <w:pPr>
        <w:ind w:left="3600" w:hanging="360"/>
      </w:pPr>
      <w:rPr>
        <w:rFonts w:ascii="Courier New" w:hAnsi="Courier New" w:hint="default"/>
      </w:rPr>
    </w:lvl>
    <w:lvl w:ilvl="5" w:tplc="4974409E">
      <w:start w:val="1"/>
      <w:numFmt w:val="bullet"/>
      <w:lvlText w:val=""/>
      <w:lvlJc w:val="left"/>
      <w:pPr>
        <w:ind w:left="4320" w:hanging="360"/>
      </w:pPr>
      <w:rPr>
        <w:rFonts w:ascii="Wingdings" w:hAnsi="Wingdings" w:hint="default"/>
      </w:rPr>
    </w:lvl>
    <w:lvl w:ilvl="6" w:tplc="406CFDF8">
      <w:start w:val="1"/>
      <w:numFmt w:val="bullet"/>
      <w:lvlText w:val=""/>
      <w:lvlJc w:val="left"/>
      <w:pPr>
        <w:ind w:left="5040" w:hanging="360"/>
      </w:pPr>
      <w:rPr>
        <w:rFonts w:ascii="Symbol" w:hAnsi="Symbol" w:hint="default"/>
      </w:rPr>
    </w:lvl>
    <w:lvl w:ilvl="7" w:tplc="9E4A287E">
      <w:start w:val="1"/>
      <w:numFmt w:val="bullet"/>
      <w:lvlText w:val="o"/>
      <w:lvlJc w:val="left"/>
      <w:pPr>
        <w:ind w:left="5760" w:hanging="360"/>
      </w:pPr>
      <w:rPr>
        <w:rFonts w:ascii="Courier New" w:hAnsi="Courier New" w:hint="default"/>
      </w:rPr>
    </w:lvl>
    <w:lvl w:ilvl="8" w:tplc="B726CDD2">
      <w:start w:val="1"/>
      <w:numFmt w:val="bullet"/>
      <w:lvlText w:val=""/>
      <w:lvlJc w:val="left"/>
      <w:pPr>
        <w:ind w:left="6480" w:hanging="360"/>
      </w:pPr>
      <w:rPr>
        <w:rFonts w:ascii="Wingdings" w:hAnsi="Wingdings" w:hint="default"/>
      </w:rPr>
    </w:lvl>
  </w:abstractNum>
  <w:num w:numId="1" w16cid:durableId="526211109">
    <w:abstractNumId w:val="1"/>
  </w:num>
  <w:num w:numId="2" w16cid:durableId="2144618616">
    <w:abstractNumId w:val="12"/>
  </w:num>
  <w:num w:numId="3" w16cid:durableId="1337153894">
    <w:abstractNumId w:val="6"/>
  </w:num>
  <w:num w:numId="4" w16cid:durableId="405762498">
    <w:abstractNumId w:val="11"/>
  </w:num>
  <w:num w:numId="5" w16cid:durableId="2131974141">
    <w:abstractNumId w:val="13"/>
  </w:num>
  <w:num w:numId="6" w16cid:durableId="1631941067">
    <w:abstractNumId w:val="5"/>
  </w:num>
  <w:num w:numId="7" w16cid:durableId="1269847106">
    <w:abstractNumId w:val="2"/>
  </w:num>
  <w:num w:numId="8" w16cid:durableId="433089995">
    <w:abstractNumId w:val="7"/>
  </w:num>
  <w:num w:numId="9" w16cid:durableId="894464098">
    <w:abstractNumId w:val="0"/>
  </w:num>
  <w:num w:numId="10" w16cid:durableId="1430082540">
    <w:abstractNumId w:val="3"/>
  </w:num>
  <w:num w:numId="11" w16cid:durableId="1704288361">
    <w:abstractNumId w:val="10"/>
  </w:num>
  <w:num w:numId="12" w16cid:durableId="819922635">
    <w:abstractNumId w:val="8"/>
  </w:num>
  <w:num w:numId="13" w16cid:durableId="236134405">
    <w:abstractNumId w:val="9"/>
  </w:num>
  <w:num w:numId="14" w16cid:durableId="424813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68C1F0"/>
    <w:rsid w:val="000163FE"/>
    <w:rsid w:val="00047C74"/>
    <w:rsid w:val="00070627"/>
    <w:rsid w:val="00073802"/>
    <w:rsid w:val="0008103B"/>
    <w:rsid w:val="00084BD2"/>
    <w:rsid w:val="000A491A"/>
    <w:rsid w:val="000B2789"/>
    <w:rsid w:val="000C3DCB"/>
    <w:rsid w:val="000E058C"/>
    <w:rsid w:val="000E53DD"/>
    <w:rsid w:val="000F452E"/>
    <w:rsid w:val="000F7EF7"/>
    <w:rsid w:val="00105966"/>
    <w:rsid w:val="00105A4E"/>
    <w:rsid w:val="001106EB"/>
    <w:rsid w:val="00113F1B"/>
    <w:rsid w:val="001140A4"/>
    <w:rsid w:val="001247F9"/>
    <w:rsid w:val="0012580C"/>
    <w:rsid w:val="00126D68"/>
    <w:rsid w:val="00162AE9"/>
    <w:rsid w:val="00163010"/>
    <w:rsid w:val="00185C08"/>
    <w:rsid w:val="001A1C67"/>
    <w:rsid w:val="001B298A"/>
    <w:rsid w:val="001D2E07"/>
    <w:rsid w:val="001D6C64"/>
    <w:rsid w:val="002014EC"/>
    <w:rsid w:val="00210DAF"/>
    <w:rsid w:val="0021491E"/>
    <w:rsid w:val="002249D3"/>
    <w:rsid w:val="00257228"/>
    <w:rsid w:val="00270D8F"/>
    <w:rsid w:val="00282763"/>
    <w:rsid w:val="00291EE3"/>
    <w:rsid w:val="00294FCC"/>
    <w:rsid w:val="00295729"/>
    <w:rsid w:val="002978B3"/>
    <w:rsid w:val="002F7265"/>
    <w:rsid w:val="00303392"/>
    <w:rsid w:val="003068D6"/>
    <w:rsid w:val="00307BF0"/>
    <w:rsid w:val="00315884"/>
    <w:rsid w:val="00325B84"/>
    <w:rsid w:val="003768CF"/>
    <w:rsid w:val="003811E4"/>
    <w:rsid w:val="00397E26"/>
    <w:rsid w:val="003B1214"/>
    <w:rsid w:val="003D6867"/>
    <w:rsid w:val="003F701A"/>
    <w:rsid w:val="00402706"/>
    <w:rsid w:val="004158EF"/>
    <w:rsid w:val="004234DC"/>
    <w:rsid w:val="0042729F"/>
    <w:rsid w:val="00445CCA"/>
    <w:rsid w:val="00446385"/>
    <w:rsid w:val="00446AD1"/>
    <w:rsid w:val="00453916"/>
    <w:rsid w:val="00471835"/>
    <w:rsid w:val="00480FA6"/>
    <w:rsid w:val="00486ACE"/>
    <w:rsid w:val="004B0D08"/>
    <w:rsid w:val="004B2267"/>
    <w:rsid w:val="004B3536"/>
    <w:rsid w:val="004B62C4"/>
    <w:rsid w:val="004B75C4"/>
    <w:rsid w:val="004D46A4"/>
    <w:rsid w:val="0052174F"/>
    <w:rsid w:val="0052703C"/>
    <w:rsid w:val="00530E0B"/>
    <w:rsid w:val="0053532B"/>
    <w:rsid w:val="00537D40"/>
    <w:rsid w:val="005516CF"/>
    <w:rsid w:val="00551E0A"/>
    <w:rsid w:val="0056040E"/>
    <w:rsid w:val="005702DA"/>
    <w:rsid w:val="00583331"/>
    <w:rsid w:val="0059024B"/>
    <w:rsid w:val="0059027B"/>
    <w:rsid w:val="00596BAA"/>
    <w:rsid w:val="005A3487"/>
    <w:rsid w:val="005A3EE7"/>
    <w:rsid w:val="005A51EC"/>
    <w:rsid w:val="005B054B"/>
    <w:rsid w:val="005B211C"/>
    <w:rsid w:val="005C202A"/>
    <w:rsid w:val="005C69E5"/>
    <w:rsid w:val="005E4879"/>
    <w:rsid w:val="005E67AB"/>
    <w:rsid w:val="005F65F0"/>
    <w:rsid w:val="006350AB"/>
    <w:rsid w:val="006548C2"/>
    <w:rsid w:val="00655107"/>
    <w:rsid w:val="006556A1"/>
    <w:rsid w:val="00655A65"/>
    <w:rsid w:val="00656CC5"/>
    <w:rsid w:val="006664AB"/>
    <w:rsid w:val="0067448F"/>
    <w:rsid w:val="00693F34"/>
    <w:rsid w:val="006E709B"/>
    <w:rsid w:val="006F370E"/>
    <w:rsid w:val="00700819"/>
    <w:rsid w:val="0070121E"/>
    <w:rsid w:val="00707E42"/>
    <w:rsid w:val="007153C1"/>
    <w:rsid w:val="00726378"/>
    <w:rsid w:val="00752323"/>
    <w:rsid w:val="00767C16"/>
    <w:rsid w:val="00767C79"/>
    <w:rsid w:val="00780E86"/>
    <w:rsid w:val="0079155E"/>
    <w:rsid w:val="007A0663"/>
    <w:rsid w:val="007B2F7F"/>
    <w:rsid w:val="007B5F16"/>
    <w:rsid w:val="007C2FFD"/>
    <w:rsid w:val="007D511B"/>
    <w:rsid w:val="007E2A5F"/>
    <w:rsid w:val="007F3790"/>
    <w:rsid w:val="00806CCD"/>
    <w:rsid w:val="00807306"/>
    <w:rsid w:val="00816478"/>
    <w:rsid w:val="0082793B"/>
    <w:rsid w:val="00855D6A"/>
    <w:rsid w:val="008754BD"/>
    <w:rsid w:val="0088217C"/>
    <w:rsid w:val="00894CE4"/>
    <w:rsid w:val="008B073D"/>
    <w:rsid w:val="008B3BFB"/>
    <w:rsid w:val="008C4D7E"/>
    <w:rsid w:val="008E1F26"/>
    <w:rsid w:val="008F1A2A"/>
    <w:rsid w:val="008F1CC9"/>
    <w:rsid w:val="00907E90"/>
    <w:rsid w:val="0092561C"/>
    <w:rsid w:val="00941E80"/>
    <w:rsid w:val="00946F66"/>
    <w:rsid w:val="009716E6"/>
    <w:rsid w:val="009770C1"/>
    <w:rsid w:val="00982301"/>
    <w:rsid w:val="00987947"/>
    <w:rsid w:val="00987B8C"/>
    <w:rsid w:val="009B12C6"/>
    <w:rsid w:val="009C1157"/>
    <w:rsid w:val="009C415D"/>
    <w:rsid w:val="009C5E2A"/>
    <w:rsid w:val="009D5E73"/>
    <w:rsid w:val="009D6A78"/>
    <w:rsid w:val="009E0941"/>
    <w:rsid w:val="009E560E"/>
    <w:rsid w:val="009F2D63"/>
    <w:rsid w:val="009F6142"/>
    <w:rsid w:val="009F73F4"/>
    <w:rsid w:val="00A0170C"/>
    <w:rsid w:val="00A1747F"/>
    <w:rsid w:val="00A17714"/>
    <w:rsid w:val="00A4101B"/>
    <w:rsid w:val="00A469BC"/>
    <w:rsid w:val="00A46E7B"/>
    <w:rsid w:val="00A62124"/>
    <w:rsid w:val="00A63EB3"/>
    <w:rsid w:val="00A91BA8"/>
    <w:rsid w:val="00A9595F"/>
    <w:rsid w:val="00AA2896"/>
    <w:rsid w:val="00AA3D58"/>
    <w:rsid w:val="00AB29DF"/>
    <w:rsid w:val="00AB5867"/>
    <w:rsid w:val="00AB5E4C"/>
    <w:rsid w:val="00AC0BCB"/>
    <w:rsid w:val="00AC3E1E"/>
    <w:rsid w:val="00AE322E"/>
    <w:rsid w:val="00B02899"/>
    <w:rsid w:val="00B15988"/>
    <w:rsid w:val="00B22E48"/>
    <w:rsid w:val="00B23F86"/>
    <w:rsid w:val="00B321C6"/>
    <w:rsid w:val="00B3D407"/>
    <w:rsid w:val="00B4672F"/>
    <w:rsid w:val="00B54E7E"/>
    <w:rsid w:val="00B72013"/>
    <w:rsid w:val="00B75355"/>
    <w:rsid w:val="00BA2731"/>
    <w:rsid w:val="00BB04A1"/>
    <w:rsid w:val="00BD071F"/>
    <w:rsid w:val="00BDE56D"/>
    <w:rsid w:val="00BE1E02"/>
    <w:rsid w:val="00C006B9"/>
    <w:rsid w:val="00C02E95"/>
    <w:rsid w:val="00C115E5"/>
    <w:rsid w:val="00C11F6A"/>
    <w:rsid w:val="00C15866"/>
    <w:rsid w:val="00C343D4"/>
    <w:rsid w:val="00C47675"/>
    <w:rsid w:val="00C63670"/>
    <w:rsid w:val="00C84A67"/>
    <w:rsid w:val="00C950FF"/>
    <w:rsid w:val="00CA0664"/>
    <w:rsid w:val="00CA396A"/>
    <w:rsid w:val="00CA7D8A"/>
    <w:rsid w:val="00CC3146"/>
    <w:rsid w:val="00CE6A82"/>
    <w:rsid w:val="00CF2052"/>
    <w:rsid w:val="00CF5CC1"/>
    <w:rsid w:val="00D00014"/>
    <w:rsid w:val="00D05CD4"/>
    <w:rsid w:val="00D12DE4"/>
    <w:rsid w:val="00D2392F"/>
    <w:rsid w:val="00D31B4D"/>
    <w:rsid w:val="00D5379B"/>
    <w:rsid w:val="00D65909"/>
    <w:rsid w:val="00D67C6A"/>
    <w:rsid w:val="00DA5369"/>
    <w:rsid w:val="00DB1709"/>
    <w:rsid w:val="00DD36D8"/>
    <w:rsid w:val="00DD4D06"/>
    <w:rsid w:val="00DE1FDF"/>
    <w:rsid w:val="00DF2220"/>
    <w:rsid w:val="00E031C4"/>
    <w:rsid w:val="00E16880"/>
    <w:rsid w:val="00E21610"/>
    <w:rsid w:val="00E22AA9"/>
    <w:rsid w:val="00E36826"/>
    <w:rsid w:val="00E416E9"/>
    <w:rsid w:val="00E43559"/>
    <w:rsid w:val="00E63AC7"/>
    <w:rsid w:val="00E715E4"/>
    <w:rsid w:val="00E868C3"/>
    <w:rsid w:val="00E87884"/>
    <w:rsid w:val="00EC597E"/>
    <w:rsid w:val="00ED2C87"/>
    <w:rsid w:val="00ED3D7A"/>
    <w:rsid w:val="00EF2518"/>
    <w:rsid w:val="00EF5523"/>
    <w:rsid w:val="00F24018"/>
    <w:rsid w:val="00F35A1D"/>
    <w:rsid w:val="00F37686"/>
    <w:rsid w:val="00F51420"/>
    <w:rsid w:val="00F53D21"/>
    <w:rsid w:val="00F64522"/>
    <w:rsid w:val="00F64A86"/>
    <w:rsid w:val="00F65CDD"/>
    <w:rsid w:val="00F663E4"/>
    <w:rsid w:val="00F86F82"/>
    <w:rsid w:val="00F92A46"/>
    <w:rsid w:val="00FA2C4A"/>
    <w:rsid w:val="00FA46CA"/>
    <w:rsid w:val="00FC3D14"/>
    <w:rsid w:val="00FC6894"/>
    <w:rsid w:val="00FD0B91"/>
    <w:rsid w:val="00FD0DC6"/>
    <w:rsid w:val="00FD2B78"/>
    <w:rsid w:val="00FF10CD"/>
    <w:rsid w:val="0155082A"/>
    <w:rsid w:val="01778870"/>
    <w:rsid w:val="0187013D"/>
    <w:rsid w:val="01B13AC6"/>
    <w:rsid w:val="01F46B4D"/>
    <w:rsid w:val="0249E4BF"/>
    <w:rsid w:val="0254AECE"/>
    <w:rsid w:val="026974B4"/>
    <w:rsid w:val="029E1650"/>
    <w:rsid w:val="0335FDD0"/>
    <w:rsid w:val="033EED5A"/>
    <w:rsid w:val="03409BFE"/>
    <w:rsid w:val="034FD0E9"/>
    <w:rsid w:val="0354CEC9"/>
    <w:rsid w:val="03566276"/>
    <w:rsid w:val="03903BAE"/>
    <w:rsid w:val="03910A41"/>
    <w:rsid w:val="03979011"/>
    <w:rsid w:val="03EE782E"/>
    <w:rsid w:val="04054515"/>
    <w:rsid w:val="042FF2EB"/>
    <w:rsid w:val="04528B4D"/>
    <w:rsid w:val="04A69EB4"/>
    <w:rsid w:val="04D3C0A6"/>
    <w:rsid w:val="05508C62"/>
    <w:rsid w:val="0566E973"/>
    <w:rsid w:val="05821124"/>
    <w:rsid w:val="059582DF"/>
    <w:rsid w:val="05A35856"/>
    <w:rsid w:val="05A84AEB"/>
    <w:rsid w:val="05A9C1DC"/>
    <w:rsid w:val="05B02890"/>
    <w:rsid w:val="06015021"/>
    <w:rsid w:val="0650E6E9"/>
    <w:rsid w:val="068E0338"/>
    <w:rsid w:val="06AF961C"/>
    <w:rsid w:val="06CF8BEB"/>
    <w:rsid w:val="0706E465"/>
    <w:rsid w:val="073C1DEC"/>
    <w:rsid w:val="074D6EEB"/>
    <w:rsid w:val="077A162A"/>
    <w:rsid w:val="0781C62B"/>
    <w:rsid w:val="079410D8"/>
    <w:rsid w:val="079C8015"/>
    <w:rsid w:val="079CBF72"/>
    <w:rsid w:val="079D2082"/>
    <w:rsid w:val="08144BC3"/>
    <w:rsid w:val="082EA37F"/>
    <w:rsid w:val="08B29F7D"/>
    <w:rsid w:val="08C20FE8"/>
    <w:rsid w:val="09A0134B"/>
    <w:rsid w:val="09BDA1CD"/>
    <w:rsid w:val="09E9E1A5"/>
    <w:rsid w:val="0A0122BE"/>
    <w:rsid w:val="0A28A6CB"/>
    <w:rsid w:val="0A3E8527"/>
    <w:rsid w:val="0A469856"/>
    <w:rsid w:val="0A47E637"/>
    <w:rsid w:val="0A5271F8"/>
    <w:rsid w:val="0A8ACAE0"/>
    <w:rsid w:val="0AA9686C"/>
    <w:rsid w:val="0AB9B9CC"/>
    <w:rsid w:val="0AC2389D"/>
    <w:rsid w:val="0ADDC3BA"/>
    <w:rsid w:val="0AF7E12B"/>
    <w:rsid w:val="0B026830"/>
    <w:rsid w:val="0B17A6A0"/>
    <w:rsid w:val="0B1D8FE3"/>
    <w:rsid w:val="0B711F23"/>
    <w:rsid w:val="0B97E15C"/>
    <w:rsid w:val="0BA05A84"/>
    <w:rsid w:val="0BB9829E"/>
    <w:rsid w:val="0BD1E664"/>
    <w:rsid w:val="0BEF3C8A"/>
    <w:rsid w:val="0BF53AAB"/>
    <w:rsid w:val="0C413BC5"/>
    <w:rsid w:val="0C9B776F"/>
    <w:rsid w:val="0CDC1A32"/>
    <w:rsid w:val="0CE2AFF2"/>
    <w:rsid w:val="0D1F932C"/>
    <w:rsid w:val="0D241CB5"/>
    <w:rsid w:val="0D33272A"/>
    <w:rsid w:val="0D42DDA5"/>
    <w:rsid w:val="0D79FE6A"/>
    <w:rsid w:val="0DB86F73"/>
    <w:rsid w:val="0DD59EC9"/>
    <w:rsid w:val="0E77EA93"/>
    <w:rsid w:val="0EB3B505"/>
    <w:rsid w:val="0EB84AC0"/>
    <w:rsid w:val="0ECEF78B"/>
    <w:rsid w:val="0F098726"/>
    <w:rsid w:val="0F170F6D"/>
    <w:rsid w:val="0F5DDC9C"/>
    <w:rsid w:val="0FAA3120"/>
    <w:rsid w:val="0FB5268D"/>
    <w:rsid w:val="0FEE8F9E"/>
    <w:rsid w:val="10043A69"/>
    <w:rsid w:val="1019B9EF"/>
    <w:rsid w:val="106AC7EC"/>
    <w:rsid w:val="10C2A385"/>
    <w:rsid w:val="10E906DA"/>
    <w:rsid w:val="10EFFC0E"/>
    <w:rsid w:val="113AF31E"/>
    <w:rsid w:val="1150302A"/>
    <w:rsid w:val="1177AEA7"/>
    <w:rsid w:val="11B9913D"/>
    <w:rsid w:val="11DEC085"/>
    <w:rsid w:val="11EB0CD0"/>
    <w:rsid w:val="11ED6FF0"/>
    <w:rsid w:val="1217FEBF"/>
    <w:rsid w:val="124D6F8D"/>
    <w:rsid w:val="1264FA95"/>
    <w:rsid w:val="12D4E5F6"/>
    <w:rsid w:val="12EFA445"/>
    <w:rsid w:val="13894051"/>
    <w:rsid w:val="138C5AC9"/>
    <w:rsid w:val="13C33064"/>
    <w:rsid w:val="13D6E7D9"/>
    <w:rsid w:val="13E93FEE"/>
    <w:rsid w:val="13F4A7EE"/>
    <w:rsid w:val="14009EB9"/>
    <w:rsid w:val="1400CAF6"/>
    <w:rsid w:val="1439D40C"/>
    <w:rsid w:val="148B7B94"/>
    <w:rsid w:val="1523BB8D"/>
    <w:rsid w:val="15362F69"/>
    <w:rsid w:val="155B44C0"/>
    <w:rsid w:val="1599100B"/>
    <w:rsid w:val="15E3EE3B"/>
    <w:rsid w:val="15E95E27"/>
    <w:rsid w:val="160E6441"/>
    <w:rsid w:val="16534989"/>
    <w:rsid w:val="16737C4C"/>
    <w:rsid w:val="16B9002C"/>
    <w:rsid w:val="16C0E113"/>
    <w:rsid w:val="16D70DDD"/>
    <w:rsid w:val="16FDE632"/>
    <w:rsid w:val="17022992"/>
    <w:rsid w:val="17120E48"/>
    <w:rsid w:val="17386BB8"/>
    <w:rsid w:val="1746C6F8"/>
    <w:rsid w:val="177F9B3C"/>
    <w:rsid w:val="17C93A6E"/>
    <w:rsid w:val="183D4893"/>
    <w:rsid w:val="18487C05"/>
    <w:rsid w:val="185DD7CB"/>
    <w:rsid w:val="1899B693"/>
    <w:rsid w:val="19128FCC"/>
    <w:rsid w:val="1924D7C1"/>
    <w:rsid w:val="1931AB91"/>
    <w:rsid w:val="19B3A214"/>
    <w:rsid w:val="19E6DD12"/>
    <w:rsid w:val="19F9A82C"/>
    <w:rsid w:val="1A5B17A3"/>
    <w:rsid w:val="1A5E43D3"/>
    <w:rsid w:val="1A7E67BA"/>
    <w:rsid w:val="1A931FB1"/>
    <w:rsid w:val="1A9A2DB6"/>
    <w:rsid w:val="1AA4A49A"/>
    <w:rsid w:val="1AAFD0CD"/>
    <w:rsid w:val="1ABC7F7A"/>
    <w:rsid w:val="1AEF0330"/>
    <w:rsid w:val="1AF10A25"/>
    <w:rsid w:val="1B22DC87"/>
    <w:rsid w:val="1B25BE12"/>
    <w:rsid w:val="1B2B18F6"/>
    <w:rsid w:val="1B50BC4C"/>
    <w:rsid w:val="1B95788D"/>
    <w:rsid w:val="1B9A5769"/>
    <w:rsid w:val="1BD9678A"/>
    <w:rsid w:val="1BE17485"/>
    <w:rsid w:val="1C069E98"/>
    <w:rsid w:val="1C172CDF"/>
    <w:rsid w:val="1C1B5C2D"/>
    <w:rsid w:val="1C944B1C"/>
    <w:rsid w:val="1CEE3226"/>
    <w:rsid w:val="1D305592"/>
    <w:rsid w:val="1D3C06E7"/>
    <w:rsid w:val="1D5F70EA"/>
    <w:rsid w:val="1D85FC45"/>
    <w:rsid w:val="1D945CE2"/>
    <w:rsid w:val="1DA1FAFE"/>
    <w:rsid w:val="1E34BCC6"/>
    <w:rsid w:val="1E3D0952"/>
    <w:rsid w:val="1E46D9E4"/>
    <w:rsid w:val="1E560622"/>
    <w:rsid w:val="1E5F422F"/>
    <w:rsid w:val="1E652BAB"/>
    <w:rsid w:val="1E80E675"/>
    <w:rsid w:val="1E81C96C"/>
    <w:rsid w:val="1E8FF75D"/>
    <w:rsid w:val="1EAC8A17"/>
    <w:rsid w:val="1EC08363"/>
    <w:rsid w:val="1F022706"/>
    <w:rsid w:val="201B835A"/>
    <w:rsid w:val="2030888E"/>
    <w:rsid w:val="203FEB91"/>
    <w:rsid w:val="20CBFDA4"/>
    <w:rsid w:val="20D3EB2A"/>
    <w:rsid w:val="20DBC2B2"/>
    <w:rsid w:val="211350B2"/>
    <w:rsid w:val="2115CCB8"/>
    <w:rsid w:val="21470CA0"/>
    <w:rsid w:val="2147F24E"/>
    <w:rsid w:val="21C4A00A"/>
    <w:rsid w:val="21F9E3A1"/>
    <w:rsid w:val="222482B3"/>
    <w:rsid w:val="228B65F6"/>
    <w:rsid w:val="22A91D8B"/>
    <w:rsid w:val="22BAFA88"/>
    <w:rsid w:val="22E3C2AF"/>
    <w:rsid w:val="22F11629"/>
    <w:rsid w:val="23389F2C"/>
    <w:rsid w:val="23440C24"/>
    <w:rsid w:val="238B9797"/>
    <w:rsid w:val="23C781DF"/>
    <w:rsid w:val="23CE39B4"/>
    <w:rsid w:val="23D09189"/>
    <w:rsid w:val="241CE9A1"/>
    <w:rsid w:val="247F9310"/>
    <w:rsid w:val="2490A530"/>
    <w:rsid w:val="24953E52"/>
    <w:rsid w:val="24A50734"/>
    <w:rsid w:val="24E293D9"/>
    <w:rsid w:val="24FA5A9F"/>
    <w:rsid w:val="25234EDC"/>
    <w:rsid w:val="25D52C7C"/>
    <w:rsid w:val="25E0BE4D"/>
    <w:rsid w:val="25F4E706"/>
    <w:rsid w:val="26397D9C"/>
    <w:rsid w:val="267077B9"/>
    <w:rsid w:val="2670D66B"/>
    <w:rsid w:val="267B85AF"/>
    <w:rsid w:val="268E7B2B"/>
    <w:rsid w:val="269A936F"/>
    <w:rsid w:val="26BC2A58"/>
    <w:rsid w:val="26BD291A"/>
    <w:rsid w:val="26F967A0"/>
    <w:rsid w:val="26FC6115"/>
    <w:rsid w:val="271740BB"/>
    <w:rsid w:val="2727EDD5"/>
    <w:rsid w:val="27528748"/>
    <w:rsid w:val="27571AA2"/>
    <w:rsid w:val="27609EFA"/>
    <w:rsid w:val="2781F492"/>
    <w:rsid w:val="27B733D2"/>
    <w:rsid w:val="280CA6CC"/>
    <w:rsid w:val="284FFC38"/>
    <w:rsid w:val="28FE0A7C"/>
    <w:rsid w:val="290C8C44"/>
    <w:rsid w:val="290F8B39"/>
    <w:rsid w:val="291E6297"/>
    <w:rsid w:val="2929459D"/>
    <w:rsid w:val="29B1AA1F"/>
    <w:rsid w:val="29CAD27C"/>
    <w:rsid w:val="29CDCBC2"/>
    <w:rsid w:val="29D10B0C"/>
    <w:rsid w:val="2A2AE3A2"/>
    <w:rsid w:val="2A4417A0"/>
    <w:rsid w:val="2A697C9B"/>
    <w:rsid w:val="2A6C125C"/>
    <w:rsid w:val="2A74F0FA"/>
    <w:rsid w:val="2A7ACD70"/>
    <w:rsid w:val="2A7FAA8D"/>
    <w:rsid w:val="2A8CEBA7"/>
    <w:rsid w:val="2AB5B7F7"/>
    <w:rsid w:val="2B4690EE"/>
    <w:rsid w:val="2B472417"/>
    <w:rsid w:val="2B58AA8E"/>
    <w:rsid w:val="2B63C654"/>
    <w:rsid w:val="2B8D8B4A"/>
    <w:rsid w:val="2BBDAEB3"/>
    <w:rsid w:val="2BBE3A52"/>
    <w:rsid w:val="2C01D1CA"/>
    <w:rsid w:val="2C5899A3"/>
    <w:rsid w:val="2C6EB05E"/>
    <w:rsid w:val="2CAA1D43"/>
    <w:rsid w:val="2CB155B0"/>
    <w:rsid w:val="2D1805CB"/>
    <w:rsid w:val="2D1B40EB"/>
    <w:rsid w:val="2D1F26AA"/>
    <w:rsid w:val="2D3C8F24"/>
    <w:rsid w:val="2D463B3D"/>
    <w:rsid w:val="2D54174B"/>
    <w:rsid w:val="2D5E4B72"/>
    <w:rsid w:val="2D816B59"/>
    <w:rsid w:val="2DFC24B9"/>
    <w:rsid w:val="2E267556"/>
    <w:rsid w:val="2E3CEC3F"/>
    <w:rsid w:val="2E7BE850"/>
    <w:rsid w:val="2E9B6716"/>
    <w:rsid w:val="2EC079CF"/>
    <w:rsid w:val="2EDF9671"/>
    <w:rsid w:val="2EF5DB14"/>
    <w:rsid w:val="2F0E0148"/>
    <w:rsid w:val="2F43032D"/>
    <w:rsid w:val="2F59A167"/>
    <w:rsid w:val="2F685FFF"/>
    <w:rsid w:val="2F81E239"/>
    <w:rsid w:val="2FDF77E5"/>
    <w:rsid w:val="2FEADFCE"/>
    <w:rsid w:val="2FEC2FEC"/>
    <w:rsid w:val="305C95AF"/>
    <w:rsid w:val="30BF0362"/>
    <w:rsid w:val="30C80DB4"/>
    <w:rsid w:val="30F3887B"/>
    <w:rsid w:val="30F92E3D"/>
    <w:rsid w:val="316ED200"/>
    <w:rsid w:val="32023C29"/>
    <w:rsid w:val="3227886E"/>
    <w:rsid w:val="32368A12"/>
    <w:rsid w:val="3293FE22"/>
    <w:rsid w:val="32F9E679"/>
    <w:rsid w:val="330404ED"/>
    <w:rsid w:val="335235FC"/>
    <w:rsid w:val="33588C65"/>
    <w:rsid w:val="3372E24A"/>
    <w:rsid w:val="338085D5"/>
    <w:rsid w:val="3392937F"/>
    <w:rsid w:val="33B2329F"/>
    <w:rsid w:val="33E3E834"/>
    <w:rsid w:val="347E7DB8"/>
    <w:rsid w:val="34AF5C67"/>
    <w:rsid w:val="34D81AA9"/>
    <w:rsid w:val="34EEFA42"/>
    <w:rsid w:val="350E2425"/>
    <w:rsid w:val="35705170"/>
    <w:rsid w:val="357FB895"/>
    <w:rsid w:val="359C2292"/>
    <w:rsid w:val="3631873B"/>
    <w:rsid w:val="3690077E"/>
    <w:rsid w:val="36931047"/>
    <w:rsid w:val="36A37D81"/>
    <w:rsid w:val="36CEB556"/>
    <w:rsid w:val="36D40102"/>
    <w:rsid w:val="36E1822F"/>
    <w:rsid w:val="36E9D361"/>
    <w:rsid w:val="36F81CA9"/>
    <w:rsid w:val="371221DE"/>
    <w:rsid w:val="3737F2F3"/>
    <w:rsid w:val="373F6B40"/>
    <w:rsid w:val="38041103"/>
    <w:rsid w:val="380507F9"/>
    <w:rsid w:val="380FDB1F"/>
    <w:rsid w:val="382BFD88"/>
    <w:rsid w:val="38601313"/>
    <w:rsid w:val="389DA515"/>
    <w:rsid w:val="38F1833F"/>
    <w:rsid w:val="3934AF8D"/>
    <w:rsid w:val="39359EB6"/>
    <w:rsid w:val="396CFE63"/>
    <w:rsid w:val="396F77EE"/>
    <w:rsid w:val="39D6E8C1"/>
    <w:rsid w:val="39DC15EC"/>
    <w:rsid w:val="3A553F65"/>
    <w:rsid w:val="3A640974"/>
    <w:rsid w:val="3A710415"/>
    <w:rsid w:val="3A75B58E"/>
    <w:rsid w:val="3AD372D2"/>
    <w:rsid w:val="3B69D6DA"/>
    <w:rsid w:val="3B785FA3"/>
    <w:rsid w:val="3BA2E979"/>
    <w:rsid w:val="3BBC525F"/>
    <w:rsid w:val="3BD176A7"/>
    <w:rsid w:val="3BDEAD46"/>
    <w:rsid w:val="3BEC6412"/>
    <w:rsid w:val="3BF0A514"/>
    <w:rsid w:val="3BFC2058"/>
    <w:rsid w:val="3C07B58D"/>
    <w:rsid w:val="3C6F4333"/>
    <w:rsid w:val="3CA9BBED"/>
    <w:rsid w:val="3CCE253A"/>
    <w:rsid w:val="3CEEAF32"/>
    <w:rsid w:val="3D143004"/>
    <w:rsid w:val="3D237DD4"/>
    <w:rsid w:val="3D3EA517"/>
    <w:rsid w:val="3D86D903"/>
    <w:rsid w:val="3DC42AF8"/>
    <w:rsid w:val="3DDC9EDB"/>
    <w:rsid w:val="3E743177"/>
    <w:rsid w:val="3E85C987"/>
    <w:rsid w:val="3E99F9A0"/>
    <w:rsid w:val="3EB00065"/>
    <w:rsid w:val="3EB67CEC"/>
    <w:rsid w:val="3EDD62ED"/>
    <w:rsid w:val="3F0F1D79"/>
    <w:rsid w:val="3F106401"/>
    <w:rsid w:val="3F143FC9"/>
    <w:rsid w:val="3F4AD046"/>
    <w:rsid w:val="3F517290"/>
    <w:rsid w:val="3F666A1C"/>
    <w:rsid w:val="3FAC18C3"/>
    <w:rsid w:val="3FB5969A"/>
    <w:rsid w:val="3FC6458C"/>
    <w:rsid w:val="3FE7758B"/>
    <w:rsid w:val="3FFA837A"/>
    <w:rsid w:val="4037E937"/>
    <w:rsid w:val="403EFCF3"/>
    <w:rsid w:val="40462A45"/>
    <w:rsid w:val="4090A100"/>
    <w:rsid w:val="40E0354F"/>
    <w:rsid w:val="410C13C9"/>
    <w:rsid w:val="41261BD1"/>
    <w:rsid w:val="412747D1"/>
    <w:rsid w:val="41C2F2D8"/>
    <w:rsid w:val="41DD4F62"/>
    <w:rsid w:val="420C7E0C"/>
    <w:rsid w:val="4231D92A"/>
    <w:rsid w:val="425FE698"/>
    <w:rsid w:val="42957506"/>
    <w:rsid w:val="42E0F8A6"/>
    <w:rsid w:val="43100A43"/>
    <w:rsid w:val="431DAE97"/>
    <w:rsid w:val="434C537D"/>
    <w:rsid w:val="4361BFD5"/>
    <w:rsid w:val="4370474C"/>
    <w:rsid w:val="437DCB07"/>
    <w:rsid w:val="438C9989"/>
    <w:rsid w:val="4396D758"/>
    <w:rsid w:val="43A0FC44"/>
    <w:rsid w:val="43D043EF"/>
    <w:rsid w:val="43EB1D7C"/>
    <w:rsid w:val="43EB97C2"/>
    <w:rsid w:val="43F6045C"/>
    <w:rsid w:val="43FA22AC"/>
    <w:rsid w:val="43FD4D9E"/>
    <w:rsid w:val="440E9541"/>
    <w:rsid w:val="444AC717"/>
    <w:rsid w:val="445DBC93"/>
    <w:rsid w:val="449C8F08"/>
    <w:rsid w:val="449D18DF"/>
    <w:rsid w:val="44A50331"/>
    <w:rsid w:val="44EF79EC"/>
    <w:rsid w:val="44FCDC9E"/>
    <w:rsid w:val="44FD9036"/>
    <w:rsid w:val="450C91A0"/>
    <w:rsid w:val="45126E16"/>
    <w:rsid w:val="45336833"/>
    <w:rsid w:val="454F446C"/>
    <w:rsid w:val="4586753A"/>
    <w:rsid w:val="459DAE78"/>
    <w:rsid w:val="45C1499B"/>
    <w:rsid w:val="4601CE92"/>
    <w:rsid w:val="46347AA7"/>
    <w:rsid w:val="464F988B"/>
    <w:rsid w:val="4656B70F"/>
    <w:rsid w:val="467DCD0B"/>
    <w:rsid w:val="46B9A14B"/>
    <w:rsid w:val="46DAA6DF"/>
    <w:rsid w:val="46DE4796"/>
    <w:rsid w:val="4701AA5D"/>
    <w:rsid w:val="4738E5B0"/>
    <w:rsid w:val="473C8661"/>
    <w:rsid w:val="476A58C4"/>
    <w:rsid w:val="47B4E84A"/>
    <w:rsid w:val="47F28770"/>
    <w:rsid w:val="47FEB216"/>
    <w:rsid w:val="480C2BE9"/>
    <w:rsid w:val="481B94CA"/>
    <w:rsid w:val="4822D9AC"/>
    <w:rsid w:val="4868C1F0"/>
    <w:rsid w:val="48B03D8D"/>
    <w:rsid w:val="48C60382"/>
    <w:rsid w:val="49312DB6"/>
    <w:rsid w:val="493618E7"/>
    <w:rsid w:val="4942D66C"/>
    <w:rsid w:val="494F4B4B"/>
    <w:rsid w:val="49515DA3"/>
    <w:rsid w:val="49542D07"/>
    <w:rsid w:val="49623C0D"/>
    <w:rsid w:val="497D4587"/>
    <w:rsid w:val="4985EB43"/>
    <w:rsid w:val="498E57D1"/>
    <w:rsid w:val="49E5E94E"/>
    <w:rsid w:val="49EA090B"/>
    <w:rsid w:val="49F5B75E"/>
    <w:rsid w:val="4A511FF5"/>
    <w:rsid w:val="4A6D424A"/>
    <w:rsid w:val="4A810E26"/>
    <w:rsid w:val="4AB43C0F"/>
    <w:rsid w:val="4ADB331C"/>
    <w:rsid w:val="4AF43AD0"/>
    <w:rsid w:val="4B459313"/>
    <w:rsid w:val="4B7EEC90"/>
    <w:rsid w:val="4B818E3B"/>
    <w:rsid w:val="4B9BD106"/>
    <w:rsid w:val="4BBF4A05"/>
    <w:rsid w:val="4BD4C447"/>
    <w:rsid w:val="4BFDA444"/>
    <w:rsid w:val="4C1D6E35"/>
    <w:rsid w:val="4C496137"/>
    <w:rsid w:val="4C711016"/>
    <w:rsid w:val="4CBEDA0F"/>
    <w:rsid w:val="4CC5F893"/>
    <w:rsid w:val="4CD5B0B9"/>
    <w:rsid w:val="4CE6325F"/>
    <w:rsid w:val="4CF01B45"/>
    <w:rsid w:val="4CFD92D6"/>
    <w:rsid w:val="4D72813F"/>
    <w:rsid w:val="4D801D1F"/>
    <w:rsid w:val="4D9974A5"/>
    <w:rsid w:val="4DD88100"/>
    <w:rsid w:val="4DE41784"/>
    <w:rsid w:val="4E3EFCF5"/>
    <w:rsid w:val="4E61C8F4"/>
    <w:rsid w:val="4E7C83AA"/>
    <w:rsid w:val="4E9723C1"/>
    <w:rsid w:val="4EF1CC0C"/>
    <w:rsid w:val="4F2984A2"/>
    <w:rsid w:val="4F436BB0"/>
    <w:rsid w:val="4F765D7F"/>
    <w:rsid w:val="4F823DCC"/>
    <w:rsid w:val="4F897B24"/>
    <w:rsid w:val="4FA3E05D"/>
    <w:rsid w:val="4FA86E46"/>
    <w:rsid w:val="4FAD134F"/>
    <w:rsid w:val="4FC1114A"/>
    <w:rsid w:val="4FD2B931"/>
    <w:rsid w:val="4FDE9952"/>
    <w:rsid w:val="4FF0E35E"/>
    <w:rsid w:val="4FF67AD1"/>
    <w:rsid w:val="501DD321"/>
    <w:rsid w:val="5026AFBF"/>
    <w:rsid w:val="508D9C6D"/>
    <w:rsid w:val="50F04FAA"/>
    <w:rsid w:val="5104FA52"/>
    <w:rsid w:val="51254B85"/>
    <w:rsid w:val="51404FBA"/>
    <w:rsid w:val="515CE1AB"/>
    <w:rsid w:val="516A5DDC"/>
    <w:rsid w:val="51DE0151"/>
    <w:rsid w:val="51E20F42"/>
    <w:rsid w:val="5264F842"/>
    <w:rsid w:val="52F06D67"/>
    <w:rsid w:val="53073E6C"/>
    <w:rsid w:val="53600FFD"/>
    <w:rsid w:val="539D1B91"/>
    <w:rsid w:val="539E028E"/>
    <w:rsid w:val="53B62931"/>
    <w:rsid w:val="54BA8888"/>
    <w:rsid w:val="550AD7F0"/>
    <w:rsid w:val="55151FA1"/>
    <w:rsid w:val="552BDA5D"/>
    <w:rsid w:val="555387E7"/>
    <w:rsid w:val="55642DE7"/>
    <w:rsid w:val="559C9904"/>
    <w:rsid w:val="55A68193"/>
    <w:rsid w:val="55ABA50E"/>
    <w:rsid w:val="55B380C6"/>
    <w:rsid w:val="55B89FAF"/>
    <w:rsid w:val="55C6C62C"/>
    <w:rsid w:val="55DCEC91"/>
    <w:rsid w:val="55E0384C"/>
    <w:rsid w:val="560EA43F"/>
    <w:rsid w:val="56355AD6"/>
    <w:rsid w:val="5654997C"/>
    <w:rsid w:val="5677CBF7"/>
    <w:rsid w:val="56782D07"/>
    <w:rsid w:val="5696134B"/>
    <w:rsid w:val="569F5633"/>
    <w:rsid w:val="56ECF3D9"/>
    <w:rsid w:val="56EF5848"/>
    <w:rsid w:val="574056EB"/>
    <w:rsid w:val="574B66F7"/>
    <w:rsid w:val="57547010"/>
    <w:rsid w:val="57874D46"/>
    <w:rsid w:val="57A04CB7"/>
    <w:rsid w:val="57BBB043"/>
    <w:rsid w:val="57F0A0E4"/>
    <w:rsid w:val="584D7AFC"/>
    <w:rsid w:val="58551C5C"/>
    <w:rsid w:val="5855533E"/>
    <w:rsid w:val="587540CC"/>
    <w:rsid w:val="589EAD4D"/>
    <w:rsid w:val="58DC274C"/>
    <w:rsid w:val="58F04071"/>
    <w:rsid w:val="59123555"/>
    <w:rsid w:val="59162E13"/>
    <w:rsid w:val="59750393"/>
    <w:rsid w:val="59BFE67C"/>
    <w:rsid w:val="59C55F12"/>
    <w:rsid w:val="5A0DF33C"/>
    <w:rsid w:val="5A0EF69A"/>
    <w:rsid w:val="5A16F031"/>
    <w:rsid w:val="5A1CCE18"/>
    <w:rsid w:val="5A2E4F18"/>
    <w:rsid w:val="5A41C90E"/>
    <w:rsid w:val="5A5DE632"/>
    <w:rsid w:val="5A69C962"/>
    <w:rsid w:val="5A6A8267"/>
    <w:rsid w:val="5A700A27"/>
    <w:rsid w:val="5AE5C8BB"/>
    <w:rsid w:val="5AECE96D"/>
    <w:rsid w:val="5B36F209"/>
    <w:rsid w:val="5B55BBE8"/>
    <w:rsid w:val="5B7F4A09"/>
    <w:rsid w:val="5B944098"/>
    <w:rsid w:val="5BBDBC77"/>
    <w:rsid w:val="5BBF0A0F"/>
    <w:rsid w:val="5BCA1F79"/>
    <w:rsid w:val="5BFF1840"/>
    <w:rsid w:val="5C0E33AF"/>
    <w:rsid w:val="5C1AE692"/>
    <w:rsid w:val="5D1085B9"/>
    <w:rsid w:val="5D532E65"/>
    <w:rsid w:val="5DB6B6F3"/>
    <w:rsid w:val="5DFEA23F"/>
    <w:rsid w:val="5E1476EB"/>
    <w:rsid w:val="5E156BAD"/>
    <w:rsid w:val="5E67E495"/>
    <w:rsid w:val="5E7EFE2D"/>
    <w:rsid w:val="5E833EEC"/>
    <w:rsid w:val="5E91C352"/>
    <w:rsid w:val="5E93579F"/>
    <w:rsid w:val="5EB09C34"/>
    <w:rsid w:val="5EB6EACB"/>
    <w:rsid w:val="5EF18318"/>
    <w:rsid w:val="5F271E72"/>
    <w:rsid w:val="5F37D33E"/>
    <w:rsid w:val="5F4970F9"/>
    <w:rsid w:val="5F5E62AE"/>
    <w:rsid w:val="5F9A73AC"/>
    <w:rsid w:val="5FA3B853"/>
    <w:rsid w:val="5FBD5F16"/>
    <w:rsid w:val="5FCB08D9"/>
    <w:rsid w:val="5FFD5ECD"/>
    <w:rsid w:val="6005E6F0"/>
    <w:rsid w:val="601B55E9"/>
    <w:rsid w:val="601D3CFE"/>
    <w:rsid w:val="603E479C"/>
    <w:rsid w:val="604126CC"/>
    <w:rsid w:val="60422F34"/>
    <w:rsid w:val="60425A1F"/>
    <w:rsid w:val="6099E34F"/>
    <w:rsid w:val="60C23BF1"/>
    <w:rsid w:val="61287C12"/>
    <w:rsid w:val="618D0DD1"/>
    <w:rsid w:val="619D460B"/>
    <w:rsid w:val="61A5F043"/>
    <w:rsid w:val="61A8B499"/>
    <w:rsid w:val="61DB5524"/>
    <w:rsid w:val="624F804B"/>
    <w:rsid w:val="62C58D15"/>
    <w:rsid w:val="62F4FFD8"/>
    <w:rsid w:val="62F670D7"/>
    <w:rsid w:val="633C5612"/>
    <w:rsid w:val="634ADED9"/>
    <w:rsid w:val="63965CCF"/>
    <w:rsid w:val="63B7C709"/>
    <w:rsid w:val="63C4219C"/>
    <w:rsid w:val="6425F877"/>
    <w:rsid w:val="642FAB6A"/>
    <w:rsid w:val="64615D76"/>
    <w:rsid w:val="651497EF"/>
    <w:rsid w:val="651DFC69"/>
    <w:rsid w:val="651EBFBF"/>
    <w:rsid w:val="651FD9A5"/>
    <w:rsid w:val="65792065"/>
    <w:rsid w:val="65ACE17A"/>
    <w:rsid w:val="65D1213D"/>
    <w:rsid w:val="662E1199"/>
    <w:rsid w:val="663CE831"/>
    <w:rsid w:val="66593195"/>
    <w:rsid w:val="66A1603F"/>
    <w:rsid w:val="66B50EDB"/>
    <w:rsid w:val="66F3EAD6"/>
    <w:rsid w:val="66FBC25E"/>
    <w:rsid w:val="6719E706"/>
    <w:rsid w:val="6720570A"/>
    <w:rsid w:val="6741B835"/>
    <w:rsid w:val="6759B0E5"/>
    <w:rsid w:val="67AF489E"/>
    <w:rsid w:val="67BA34D9"/>
    <w:rsid w:val="67BB5931"/>
    <w:rsid w:val="67C61CC3"/>
    <w:rsid w:val="6806C4AE"/>
    <w:rsid w:val="68371558"/>
    <w:rsid w:val="688FBB37"/>
    <w:rsid w:val="68C91D37"/>
    <w:rsid w:val="693F2A5A"/>
    <w:rsid w:val="695AEB51"/>
    <w:rsid w:val="698ED47B"/>
    <w:rsid w:val="69A405AF"/>
    <w:rsid w:val="69A90FD2"/>
    <w:rsid w:val="69D2E5B9"/>
    <w:rsid w:val="6A18E19B"/>
    <w:rsid w:val="6A59A307"/>
    <w:rsid w:val="6AEDEC09"/>
    <w:rsid w:val="6B130B5D"/>
    <w:rsid w:val="6B2E10E9"/>
    <w:rsid w:val="6B4B7C15"/>
    <w:rsid w:val="6B5ED968"/>
    <w:rsid w:val="6B99B96D"/>
    <w:rsid w:val="6BBDF7E1"/>
    <w:rsid w:val="6C0A7BB6"/>
    <w:rsid w:val="6C42BB03"/>
    <w:rsid w:val="6C4C753D"/>
    <w:rsid w:val="6C6ACFAE"/>
    <w:rsid w:val="6C97AC9C"/>
    <w:rsid w:val="6CBAF1D7"/>
    <w:rsid w:val="6CBBF7A9"/>
    <w:rsid w:val="6CC6753D"/>
    <w:rsid w:val="6CEA74F3"/>
    <w:rsid w:val="6D0D9CED"/>
    <w:rsid w:val="6D273BE3"/>
    <w:rsid w:val="6D54A72B"/>
    <w:rsid w:val="6D6A59AC"/>
    <w:rsid w:val="6D7CAB1C"/>
    <w:rsid w:val="6D7F4DFD"/>
    <w:rsid w:val="6DB75BE7"/>
    <w:rsid w:val="6DB92DA6"/>
    <w:rsid w:val="6DBF3018"/>
    <w:rsid w:val="6DC5BC39"/>
    <w:rsid w:val="6E09C336"/>
    <w:rsid w:val="6E35A334"/>
    <w:rsid w:val="6E3C353F"/>
    <w:rsid w:val="6E4DC9D7"/>
    <w:rsid w:val="6E549751"/>
    <w:rsid w:val="6E864554"/>
    <w:rsid w:val="6ED4FC1B"/>
    <w:rsid w:val="6EE73322"/>
    <w:rsid w:val="6F2A0486"/>
    <w:rsid w:val="6F421C78"/>
    <w:rsid w:val="6F7E5AFE"/>
    <w:rsid w:val="6F9F8829"/>
    <w:rsid w:val="6FB0707B"/>
    <w:rsid w:val="6FE61B99"/>
    <w:rsid w:val="7011C7C5"/>
    <w:rsid w:val="70134733"/>
    <w:rsid w:val="703692D1"/>
    <w:rsid w:val="703C8030"/>
    <w:rsid w:val="708E48AA"/>
    <w:rsid w:val="709E6401"/>
    <w:rsid w:val="71588EE6"/>
    <w:rsid w:val="718162B9"/>
    <w:rsid w:val="71AE6AA9"/>
    <w:rsid w:val="71DD077F"/>
    <w:rsid w:val="720C9CDD"/>
    <w:rsid w:val="72193A72"/>
    <w:rsid w:val="722D6A8B"/>
    <w:rsid w:val="724CFD8E"/>
    <w:rsid w:val="7252BF20"/>
    <w:rsid w:val="725350E9"/>
    <w:rsid w:val="72A05B31"/>
    <w:rsid w:val="72A42052"/>
    <w:rsid w:val="72B894D5"/>
    <w:rsid w:val="72FB5E57"/>
    <w:rsid w:val="731FFA71"/>
    <w:rsid w:val="7320CECC"/>
    <w:rsid w:val="738670B7"/>
    <w:rsid w:val="73B50AD3"/>
    <w:rsid w:val="73E2F727"/>
    <w:rsid w:val="7418D8EE"/>
    <w:rsid w:val="7445169A"/>
    <w:rsid w:val="746D8AF2"/>
    <w:rsid w:val="7471E67F"/>
    <w:rsid w:val="748A7A30"/>
    <w:rsid w:val="74D8DBE1"/>
    <w:rsid w:val="74FBA255"/>
    <w:rsid w:val="7544938F"/>
    <w:rsid w:val="7550DB34"/>
    <w:rsid w:val="757476CF"/>
    <w:rsid w:val="7582B00D"/>
    <w:rsid w:val="75B5A7E0"/>
    <w:rsid w:val="75FE429D"/>
    <w:rsid w:val="761E3933"/>
    <w:rsid w:val="7695A93B"/>
    <w:rsid w:val="76E00E00"/>
    <w:rsid w:val="76E176BD"/>
    <w:rsid w:val="76ECAB95"/>
    <w:rsid w:val="770549F6"/>
    <w:rsid w:val="77537622"/>
    <w:rsid w:val="77C4BC1C"/>
    <w:rsid w:val="781CAA78"/>
    <w:rsid w:val="782FAC5E"/>
    <w:rsid w:val="783967D7"/>
    <w:rsid w:val="78791939"/>
    <w:rsid w:val="78A162ED"/>
    <w:rsid w:val="78C2926D"/>
    <w:rsid w:val="78EB7552"/>
    <w:rsid w:val="795DB17D"/>
    <w:rsid w:val="797BF68C"/>
    <w:rsid w:val="79E4022B"/>
    <w:rsid w:val="79E4E0F1"/>
    <w:rsid w:val="79F3DAED"/>
    <w:rsid w:val="7A04581A"/>
    <w:rsid w:val="7A37ED5B"/>
    <w:rsid w:val="7A3C4CDE"/>
    <w:rsid w:val="7A47A131"/>
    <w:rsid w:val="7A47E7F2"/>
    <w:rsid w:val="7A528CD4"/>
    <w:rsid w:val="7A54FFBC"/>
    <w:rsid w:val="7A792081"/>
    <w:rsid w:val="7A930C61"/>
    <w:rsid w:val="7A9CB234"/>
    <w:rsid w:val="7AD8C772"/>
    <w:rsid w:val="7B17C6ED"/>
    <w:rsid w:val="7B24F41F"/>
    <w:rsid w:val="7B434E63"/>
    <w:rsid w:val="7B73232E"/>
    <w:rsid w:val="7B88F84B"/>
    <w:rsid w:val="7BAC0AC2"/>
    <w:rsid w:val="7BFA332F"/>
    <w:rsid w:val="7BFE79E0"/>
    <w:rsid w:val="7C13E354"/>
    <w:rsid w:val="7C2C5AE4"/>
    <w:rsid w:val="7C36AF77"/>
    <w:rsid w:val="7C3A344E"/>
    <w:rsid w:val="7C633B87"/>
    <w:rsid w:val="7CA265F2"/>
    <w:rsid w:val="7CC69FC1"/>
    <w:rsid w:val="7CCF6D3E"/>
    <w:rsid w:val="7CD4D99B"/>
    <w:rsid w:val="7CD77735"/>
    <w:rsid w:val="7CD87008"/>
    <w:rsid w:val="7D129F75"/>
    <w:rsid w:val="7D312121"/>
    <w:rsid w:val="7D3D35FB"/>
    <w:rsid w:val="7D6F27A4"/>
    <w:rsid w:val="7D6FECD5"/>
    <w:rsid w:val="7D77D992"/>
    <w:rsid w:val="7D7F88B4"/>
    <w:rsid w:val="7D960390"/>
    <w:rsid w:val="7D9EE7AD"/>
    <w:rsid w:val="7E1D6767"/>
    <w:rsid w:val="7E223424"/>
    <w:rsid w:val="7E79D11E"/>
    <w:rsid w:val="7EA136A7"/>
    <w:rsid w:val="7F1803A5"/>
    <w:rsid w:val="7F1AC9C4"/>
    <w:rsid w:val="7F261CA7"/>
    <w:rsid w:val="7F6B6B04"/>
    <w:rsid w:val="7FA429D9"/>
    <w:rsid w:val="7FA8F910"/>
    <w:rsid w:val="7FB5DA9F"/>
    <w:rsid w:val="7FB9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C1F0"/>
  <w15:chartTrackingRefBased/>
  <w15:docId w15:val="{A63D574B-3C5B-4625-9D09-82EB153A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BB04A1"/>
    <w:rPr>
      <w:vertAlign w:val="superscript"/>
    </w:rPr>
  </w:style>
  <w:style w:type="paragraph" w:styleId="EndnoteText">
    <w:name w:val="endnote text"/>
    <w:basedOn w:val="Normal"/>
    <w:link w:val="EndnoteTextChar"/>
    <w:uiPriority w:val="99"/>
    <w:semiHidden/>
    <w:unhideWhenUsed/>
    <w:rsid w:val="00294F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FCC"/>
    <w:rPr>
      <w:sz w:val="20"/>
      <w:szCs w:val="20"/>
    </w:rPr>
  </w:style>
  <w:style w:type="character" w:styleId="EndnoteReference">
    <w:name w:val="endnote reference"/>
    <w:basedOn w:val="DefaultParagraphFont"/>
    <w:uiPriority w:val="99"/>
    <w:semiHidden/>
    <w:unhideWhenUsed/>
    <w:rsid w:val="00294FCC"/>
    <w:rPr>
      <w:vertAlign w:val="superscript"/>
    </w:rPr>
  </w:style>
  <w:style w:type="paragraph" w:styleId="FootnoteText">
    <w:name w:val="footnote text"/>
    <w:basedOn w:val="Normal"/>
    <w:link w:val="FootnoteTextChar"/>
    <w:uiPriority w:val="99"/>
    <w:semiHidden/>
    <w:unhideWhenUsed/>
    <w:rsid w:val="00294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FCC"/>
    <w:rPr>
      <w:sz w:val="20"/>
      <w:szCs w:val="20"/>
    </w:rPr>
  </w:style>
  <w:style w:type="character" w:styleId="FollowedHyperlink">
    <w:name w:val="FollowedHyperlink"/>
    <w:basedOn w:val="DefaultParagraphFont"/>
    <w:uiPriority w:val="99"/>
    <w:semiHidden/>
    <w:unhideWhenUsed/>
    <w:rsid w:val="008B073D"/>
    <w:rPr>
      <w:color w:val="954F72" w:themeColor="followedHyperlink"/>
      <w:u w:val="single"/>
    </w:rPr>
  </w:style>
  <w:style w:type="paragraph" w:styleId="Header">
    <w:name w:val="header"/>
    <w:basedOn w:val="Normal"/>
    <w:link w:val="HeaderChar"/>
    <w:uiPriority w:val="99"/>
    <w:semiHidden/>
    <w:unhideWhenUsed/>
    <w:rsid w:val="005353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32B"/>
  </w:style>
  <w:style w:type="paragraph" w:styleId="Footer">
    <w:name w:val="footer"/>
    <w:basedOn w:val="Normal"/>
    <w:link w:val="FooterChar"/>
    <w:uiPriority w:val="99"/>
    <w:semiHidden/>
    <w:unhideWhenUsed/>
    <w:rsid w:val="005353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32B"/>
  </w:style>
  <w:style w:type="paragraph" w:styleId="Revision">
    <w:name w:val="Revision"/>
    <w:hidden/>
    <w:uiPriority w:val="99"/>
    <w:semiHidden/>
    <w:rsid w:val="004B0D08"/>
    <w:pPr>
      <w:spacing w:after="0" w:line="240" w:lineRule="auto"/>
    </w:pPr>
  </w:style>
  <w:style w:type="paragraph" w:styleId="CommentSubject">
    <w:name w:val="annotation subject"/>
    <w:basedOn w:val="CommentText"/>
    <w:next w:val="CommentText"/>
    <w:link w:val="CommentSubjectChar"/>
    <w:uiPriority w:val="99"/>
    <w:semiHidden/>
    <w:unhideWhenUsed/>
    <w:rsid w:val="00E21610"/>
    <w:rPr>
      <w:b/>
      <w:bCs/>
    </w:rPr>
  </w:style>
  <w:style w:type="character" w:customStyle="1" w:styleId="CommentSubjectChar">
    <w:name w:val="Comment Subject Char"/>
    <w:basedOn w:val="CommentTextChar"/>
    <w:link w:val="CommentSubject"/>
    <w:uiPriority w:val="99"/>
    <w:semiHidden/>
    <w:rsid w:val="00E2161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miltonproject.org/assets/files/A_Comparison_of_Renters_and_Homeowners.pdf" TargetMode="External"/><Relationship Id="rId18" Type="http://schemas.openxmlformats.org/officeDocument/2006/relationships/hyperlink" Target="https://bit.ly/3nu6xnZ" TargetMode="External"/><Relationship Id="rId26" Type="http://schemas.openxmlformats.org/officeDocument/2006/relationships/hyperlink" Target="https://nwlc.org/wp-content/uploads/2019/11/NWLC-GCPI-Tax-Code-for-the-Rest-of-Us-Nov14.pdf"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rldefense.com/v3/__https:/www.congress.gov/bill/116th-congress/senate-bill/2684?q=*7B*22search*22*3A*5B*22*5C*22Housing*2C*Opportunity*2C*Mobility*2C*and*Equity*5C*22*22*2C*22*5C*22Housing*2C*22*2C*22Opportunity*2C*22*2C*22Mobility*2C*22*2C*22and*22*2C*22Equity*5C*22*22*5D*7D&amp;s=6&amp;r=2__;JSUlJSUlJSUlKyUrJSsrJSUlJSUlJSUlJSUlJSUlJSUlJSUlJSUlJSUl!!Bg5easoyC-OII2vlEqY8mTBrtW-N4OJKAQ!drR2an9Q9LYVKbmDd6N1tlMjSbQesOxdbmn7u8_5pretBaZoKRe3oQT5wJD8hSJ5bC7y0UpU$" TargetMode="External"/><Relationship Id="rId25" Type="http://schemas.openxmlformats.org/officeDocument/2006/relationships/hyperlink" Target="https://rooseveltinstitute.org/2022/04/18/how-the-tax-code-can-create-a-more-equal-economy/"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bit.ly/3bNA2i0" TargetMode="External"/><Relationship Id="rId20" Type="http://schemas.openxmlformats.org/officeDocument/2006/relationships/hyperlink" Target="https://bit.ly/3OZE19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speritynow.org/sites/default/files/resources/RSU_2020_Full_Report-7.13.202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rldefense.com/v3/__https:/www.congress.gov/bill/116th-congress/house-bill/2169?q=*7B*22search*22*3A*5B*22rent*relief*act*22*2C*22rent*22*2C*22relief*22*2C*22act*22*5D*7D&amp;s=2&amp;r=1__;JSUlJSUlKyslJSUlJSUlJSUlJSU!!Bg5easoyC-OII2vlEqY8mTBrtW-N4OJKAQ!drR2an9Q9LYVKbmDd6N1tlMjSbQesOxdbmn7u8_5pretBaZoKRe3oQT5wJD8hSJ5bIkWR2MT$" TargetMode="External"/><Relationship Id="rId23" Type="http://schemas.openxmlformats.org/officeDocument/2006/relationships/hyperlink" Target="https://www.clasp.org/publications/report/brief/clasp-principles-federal-tax-poli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rldefense.com/v3/__https:/www.congress.gov/bill/116th-congress/house-bill/4808?q=*7B*22search*22*3A*5B*22*5C*22Housing*2C*Opportunity*2C*Mobility*2C*and*Equity*5C*22*22*2C*22*5C*22Housing*2C*22*2C*22Opportunity*2C*22*2C*22Mobility*2C*22*2C*22and*22*2C*22Equity*5C*22*22*5D*7D&amp;s=6&amp;r=1__;JSUlJSUlJSUlKyUrJSsrJSUlJSUlJSUlJSUlJSUlJSUlJSUlJSUlJSUl!!Bg5easoyC-OII2vlEqY8mTBrtW-N4OJKAQ!drR2an9Q9LYVKbmDd6N1tlMjSbQesOxdbmn7u8_5pretBaZoKRe3oQT5wJD8hSJ5bPTjwUI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bNA2i0" TargetMode="External"/><Relationship Id="rId22" Type="http://schemas.openxmlformats.org/officeDocument/2006/relationships/image" Target="media/image4.png"/><Relationship Id="rId27" Type="http://schemas.openxmlformats.org/officeDocument/2006/relationships/hyperlink" Target="https://www.brookings.edu/testimonies/funding-our-nations-priorities-reforming-the-tax-codes-advantageous-treatment-of-the-wealthy/" TargetMode="External"/><Relationship Id="rId30" Type="http://schemas.openxmlformats.org/officeDocument/2006/relationships/fontTable" Target="fontTable.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povertycenter.columbia.edu/news-internal/monthly-poverty-january-2022" TargetMode="External"/><Relationship Id="rId2" Type="http://schemas.openxmlformats.org/officeDocument/2006/relationships/hyperlink" Target="https://crsreports.congress.gov/product/pdf/R/R45971." TargetMode="External"/><Relationship Id="rId1" Type="http://schemas.openxmlformats.org/officeDocument/2006/relationships/hyperlink" Target="https://nlihc.org/sites/default/files/Factsheet_08022018.pdf" TargetMode="External"/><Relationship Id="rId4" Type="http://schemas.openxmlformats.org/officeDocument/2006/relationships/hyperlink" Target="https://www.theatlantic.com/ideas/archive/2021/03/us-tax-code-race-marriage-penalty/618339/" TargetMode="External"/></Relationships>
</file>

<file path=word/documenttasks/documenttasks1.xml><?xml version="1.0" encoding="utf-8"?>
<t:Tasks xmlns:t="http://schemas.microsoft.com/office/tasks/2019/documenttasks" xmlns:oel="http://schemas.microsoft.com/office/2019/extlst">
  <t:Task id="{7D33D434-1FDA-4075-AEFA-EF35AF53206A}">
    <t:Anchor>
      <t:Comment id="651565722"/>
    </t:Anchor>
    <t:History>
      <t:Event id="{09ED576B-9565-421D-A92D-A10525CBCB44}" time="2022-06-07T06:00:12.504Z">
        <t:Attribution userId="S::msantos@results.org::c2c81859-0763-49e8-9efe-48b9db78a9cc" userProvider="AD" userName="Michael Santos"/>
        <t:Anchor>
          <t:Comment id="651565722"/>
        </t:Anchor>
        <t:Create/>
      </t:Event>
      <t:Event id="{ABE23A33-FD77-4420-AF18-5F19664D0DE8}" time="2022-06-07T06:00:12.504Z">
        <t:Attribution userId="S::msantos@results.org::c2c81859-0763-49e8-9efe-48b9db78a9cc" userProvider="AD" userName="Michael Santos"/>
        <t:Anchor>
          <t:Comment id="651565722"/>
        </t:Anchor>
        <t:Assign userId="S::bturpin@results.org::1b7ebfdd-d677-4692-b51f-fa8b1ae1c39e" userProvider="AD" userName="Blake Turpin"/>
      </t:Event>
      <t:Event id="{6AD8C9EB-AF77-4916-90FC-6E5108E6F8EC}" time="2022-06-07T06:00:12.504Z">
        <t:Attribution userId="S::msantos@results.org::c2c81859-0763-49e8-9efe-48b9db78a9cc" userProvider="AD" userName="Michael Santos"/>
        <t:Anchor>
          <t:Comment id="651565722"/>
        </t:Anchor>
        <t:SetTitle title="@Blake Turpin you should include somewhere here accounting for those making more money and spending more than 30 percent of their income toward rent, but who are not rent burden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AEBFEC1-B2FA-45BB-B0C6-25C532CF3242}"/>
      </w:docPartPr>
      <w:docPartBody>
        <w:p w:rsidR="000E4086" w:rsidRDefault="000E40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4086"/>
    <w:rsid w:val="000E4086"/>
    <w:rsid w:val="0087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2b8659-eb92-470e-b40f-1c994b2ac523">
      <Terms xmlns="http://schemas.microsoft.com/office/infopath/2007/PartnerControls"/>
    </lcf76f155ced4ddcb4097134ff3c332f>
    <TaxCatchAll xmlns="876372d7-2542-4065-ad3b-22612840f7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6" ma:contentTypeDescription="Create a new document." ma:contentTypeScope="" ma:versionID="2720f51342580908b8c628f2ec2e6f4d">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1b824d3948b2e1322baff5ee174a7c2d"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0566B-4A7A-4B68-AF6B-27162B4C2DB6}">
  <ds:schemaRefs>
    <ds:schemaRef ds:uri="http://schemas.microsoft.com/office/2006/metadata/properties"/>
    <ds:schemaRef ds:uri="http://schemas.microsoft.com/office/infopath/2007/PartnerControls"/>
    <ds:schemaRef ds:uri="552b8659-eb92-470e-b40f-1c994b2ac523"/>
    <ds:schemaRef ds:uri="876372d7-2542-4065-ad3b-22612840f7b4"/>
  </ds:schemaRefs>
</ds:datastoreItem>
</file>

<file path=customXml/itemProps2.xml><?xml version="1.0" encoding="utf-8"?>
<ds:datastoreItem xmlns:ds="http://schemas.openxmlformats.org/officeDocument/2006/customXml" ds:itemID="{5D53F1F7-F5CC-4E69-95E2-4664A31B5BB5}">
  <ds:schemaRefs>
    <ds:schemaRef ds:uri="http://schemas.microsoft.com/sharepoint/v3/contenttype/forms"/>
  </ds:schemaRefs>
</ds:datastoreItem>
</file>

<file path=customXml/itemProps3.xml><?xml version="1.0" encoding="utf-8"?>
<ds:datastoreItem xmlns:ds="http://schemas.openxmlformats.org/officeDocument/2006/customXml" ds:itemID="{53AE429C-0A2F-4C17-B5B3-01B3E8B3D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1E66-0F51-4370-8477-9A1E0EA2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3716</Words>
  <Characters>21185</Characters>
  <Application>Microsoft Office Word</Application>
  <DocSecurity>0</DocSecurity>
  <Lines>176</Lines>
  <Paragraphs>49</Paragraphs>
  <ScaleCrop>false</ScaleCrop>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Turpin</dc:creator>
  <cp:keywords/>
  <dc:description/>
  <cp:lastModifiedBy>Katie Fleischer</cp:lastModifiedBy>
  <cp:revision>2</cp:revision>
  <dcterms:created xsi:type="dcterms:W3CDTF">2022-08-24T13:47:00Z</dcterms:created>
  <dcterms:modified xsi:type="dcterms:W3CDTF">2022-08-24T13:47:00Z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MediaServiceImageTags">
    <vt:lpwstr/>
  </property>
</Properties>
</file>