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9609" w14:textId="77777777" w:rsidR="009B1829" w:rsidRPr="00EB6812" w:rsidRDefault="009B1829" w:rsidP="009B1829">
      <w:pPr>
        <w:spacing w:after="200"/>
        <w:jc w:val="center"/>
        <w:rPr>
          <w:rFonts w:ascii="Helvetica" w:eastAsia="Lato Regular" w:hAnsi="Helvetica" w:cs="Helvetica"/>
          <w:color w:val="C00000"/>
          <w:sz w:val="40"/>
          <w:szCs w:val="40"/>
        </w:rPr>
      </w:pPr>
      <w:bookmarkStart w:id="0" w:name="_Hlk9939353"/>
      <w:bookmarkEnd w:id="0"/>
      <w:r w:rsidRPr="00EB6812">
        <w:rPr>
          <w:rFonts w:ascii="Helvetica" w:eastAsia="Lato Regular" w:hAnsi="Helvetica" w:cs="Helvetica"/>
          <w:color w:val="C00000"/>
          <w:sz w:val="40"/>
          <w:szCs w:val="40"/>
        </w:rPr>
        <w:t>2019 RESULTS US Poverty Racial Wealth Inequality Conference Briefing Packet</w:t>
      </w:r>
    </w:p>
    <w:p w14:paraId="0EFACB1D" w14:textId="42D8E480" w:rsidR="009B1829" w:rsidRPr="00EB6812" w:rsidRDefault="009B1829" w:rsidP="009B1829">
      <w:pPr>
        <w:spacing w:after="200"/>
        <w:jc w:val="center"/>
        <w:rPr>
          <w:rFonts w:ascii="Helvetica" w:eastAsia="Lato Regular" w:hAnsi="Helvetica" w:cs="Helvetica"/>
          <w:color w:val="C00000"/>
          <w:sz w:val="40"/>
          <w:szCs w:val="40"/>
        </w:rPr>
      </w:pPr>
      <w:r w:rsidRPr="00EB6812">
        <w:rPr>
          <w:rFonts w:ascii="Helvetica" w:eastAsia="Lato Regular" w:hAnsi="Helvetica" w:cs="Helvetica"/>
          <w:color w:val="C00000"/>
          <w:sz w:val="40"/>
          <w:szCs w:val="40"/>
        </w:rPr>
        <w:t xml:space="preserve">Section 5: Fixing Our Tax Code for Working Families </w:t>
      </w:r>
    </w:p>
    <w:p w14:paraId="429D7C40" w14:textId="1FD39480" w:rsidR="000B7E2C" w:rsidRPr="00EB6812" w:rsidRDefault="003C0432" w:rsidP="003C0432">
      <w:pPr>
        <w:pStyle w:val="Default"/>
        <w:spacing w:after="120" w:line="276" w:lineRule="auto"/>
        <w:rPr>
          <w:rFonts w:ascii="Helvetica" w:hAnsi="Helvetica" w:cs="Helvetica"/>
          <w:sz w:val="22"/>
          <w:szCs w:val="22"/>
        </w:rPr>
      </w:pPr>
      <w:r w:rsidRPr="00EB6812">
        <w:rPr>
          <w:rFonts w:ascii="Helvetica" w:hAnsi="Helvetica" w:cs="Helvetica"/>
          <w:sz w:val="22"/>
          <w:szCs w:val="22"/>
        </w:rPr>
        <w:t xml:space="preserve">While working more broadly to reduce racial wealth inequality, </w:t>
      </w:r>
      <w:r w:rsidR="009721D6" w:rsidRPr="00EB6812">
        <w:rPr>
          <w:rFonts w:ascii="Helvetica" w:hAnsi="Helvetica" w:cs="Helvetica"/>
          <w:sz w:val="22"/>
          <w:szCs w:val="22"/>
        </w:rPr>
        <w:t xml:space="preserve">RESULTS </w:t>
      </w:r>
      <w:r w:rsidR="002F4E58" w:rsidRPr="00EB6812">
        <w:rPr>
          <w:rFonts w:ascii="Helvetica" w:hAnsi="Helvetica" w:cs="Helvetica"/>
          <w:sz w:val="22"/>
          <w:szCs w:val="22"/>
        </w:rPr>
        <w:t>focuses on</w:t>
      </w:r>
      <w:r w:rsidR="009721D6" w:rsidRPr="00EB6812">
        <w:rPr>
          <w:rFonts w:ascii="Helvetica" w:hAnsi="Helvetica" w:cs="Helvetica"/>
          <w:sz w:val="22"/>
          <w:szCs w:val="22"/>
        </w:rPr>
        <w:t xml:space="preserve"> expand</w:t>
      </w:r>
      <w:r w:rsidR="002F4E58" w:rsidRPr="00EB6812">
        <w:rPr>
          <w:rFonts w:ascii="Helvetica" w:hAnsi="Helvetica" w:cs="Helvetica"/>
          <w:sz w:val="22"/>
          <w:szCs w:val="22"/>
        </w:rPr>
        <w:t>ing</w:t>
      </w:r>
      <w:r w:rsidR="009721D6" w:rsidRPr="00EB6812">
        <w:rPr>
          <w:rFonts w:ascii="Helvetica" w:hAnsi="Helvetica" w:cs="Helvetica"/>
          <w:sz w:val="22"/>
          <w:szCs w:val="22"/>
        </w:rPr>
        <w:t xml:space="preserve"> opportunities for low-income individuals and families to move up the economic ladder. </w:t>
      </w:r>
      <w:r w:rsidR="00BB4A2A" w:rsidRPr="00EB6812">
        <w:rPr>
          <w:rFonts w:ascii="Helvetica" w:hAnsi="Helvetica" w:cs="Helvetica"/>
          <w:sz w:val="22"/>
          <w:szCs w:val="22"/>
        </w:rPr>
        <w:t xml:space="preserve">Many of America’s low-income working families are struggling to stay afloat as costs have risen faster than their pay over several decades, and too many parents with low incomes struggle to provide for their kids’ basic needs. As discussed in Section </w:t>
      </w:r>
      <w:r w:rsidR="003C7857" w:rsidRPr="00EB6812">
        <w:rPr>
          <w:rFonts w:ascii="Helvetica" w:hAnsi="Helvetica" w:cs="Helvetica"/>
          <w:sz w:val="22"/>
          <w:szCs w:val="22"/>
        </w:rPr>
        <w:t>2</w:t>
      </w:r>
      <w:r w:rsidR="006C1112" w:rsidRPr="00EB6812">
        <w:rPr>
          <w:rFonts w:ascii="Helvetica" w:hAnsi="Helvetica" w:cs="Helvetica"/>
          <w:sz w:val="22"/>
          <w:szCs w:val="22"/>
        </w:rPr>
        <w:t>, t</w:t>
      </w:r>
      <w:r w:rsidR="00BB4A2A" w:rsidRPr="00EB6812">
        <w:rPr>
          <w:rFonts w:ascii="Helvetica" w:hAnsi="Helvetica" w:cs="Helvetica"/>
          <w:sz w:val="22"/>
          <w:szCs w:val="22"/>
        </w:rPr>
        <w:t xml:space="preserve">he 2017 tax law exacerbated these trends by favoring corporations and mostly wealthy, white households while largely leaving behind low- and moderate-income working families. </w:t>
      </w:r>
      <w:r w:rsidR="00161E40" w:rsidRPr="00EB6812">
        <w:rPr>
          <w:rFonts w:ascii="Helvetica" w:hAnsi="Helvetica" w:cs="Helvetica"/>
          <w:sz w:val="22"/>
          <w:szCs w:val="22"/>
        </w:rPr>
        <w:t>T</w:t>
      </w:r>
      <w:r w:rsidR="00161E40" w:rsidRPr="00EB6812">
        <w:rPr>
          <w:rStyle w:val="eop"/>
          <w:rFonts w:ascii="Helvetica" w:eastAsia="Helvetica" w:hAnsi="Helvetica" w:cs="Helvetica"/>
          <w:sz w:val="22"/>
          <w:szCs w:val="22"/>
        </w:rPr>
        <w:t>ax policy that benefits families in need and people of color can help to close the racial wealth gap and decrease poverty rates.</w:t>
      </w:r>
    </w:p>
    <w:p w14:paraId="120E2B5B" w14:textId="7A2D0CCD" w:rsidR="00477DA0" w:rsidRPr="00477DA0" w:rsidRDefault="009721D6" w:rsidP="00477DA0">
      <w:pPr>
        <w:pStyle w:val="paragraph"/>
        <w:spacing w:after="120" w:line="276" w:lineRule="auto"/>
        <w:textAlignment w:val="baseline"/>
        <w:rPr>
          <w:rFonts w:ascii="Helvetica" w:hAnsi="Helvetica" w:cs="Helvetica"/>
          <w:sz w:val="22"/>
          <w:szCs w:val="22"/>
        </w:rPr>
      </w:pPr>
      <w:r w:rsidRPr="00EB6812">
        <w:rPr>
          <w:rFonts w:ascii="Helvetica" w:hAnsi="Helvetica" w:cs="Helvetica"/>
          <w:sz w:val="22"/>
          <w:szCs w:val="22"/>
        </w:rPr>
        <w:t xml:space="preserve">We support features of the tax code that assist working families, such as the Earned Income Tax Credit (EITC) and the Child Tax Credit (CTC). </w:t>
      </w:r>
      <w:r w:rsidR="5D1D2CF0" w:rsidRPr="5D1D2CF0">
        <w:rPr>
          <w:rFonts w:ascii="Helvetica" w:hAnsi="Helvetica" w:cs="Helvetica"/>
          <w:sz w:val="22"/>
          <w:szCs w:val="22"/>
        </w:rPr>
        <w:t xml:space="preserve">It is estimated that in 2018 alone, </w:t>
      </w:r>
      <w:hyperlink r:id="rId11">
        <w:r w:rsidR="5D1D2CF0" w:rsidRPr="5D1D2CF0">
          <w:rPr>
            <w:rStyle w:val="Hyperlink"/>
            <w:rFonts w:ascii="Helvetica" w:hAnsi="Helvetica" w:cs="Helvetica"/>
            <w:color w:val="C00000"/>
            <w:sz w:val="22"/>
            <w:szCs w:val="22"/>
          </w:rPr>
          <w:t>the EITC and CTC lifted 8.3 million people out of poverty</w:t>
        </w:r>
      </w:hyperlink>
      <w:r w:rsidR="5D1D2CF0" w:rsidRPr="5D1D2CF0">
        <w:rPr>
          <w:rFonts w:ascii="Helvetica" w:hAnsi="Helvetica" w:cs="Helvetica"/>
          <w:sz w:val="22"/>
          <w:szCs w:val="22"/>
        </w:rPr>
        <w:t>, nearly half of them children.</w:t>
      </w:r>
      <w:r w:rsidR="60F26DF0" w:rsidRPr="60F26DF0">
        <w:rPr>
          <w:rFonts w:ascii="Helvetica" w:hAnsi="Helvetica" w:cs="Helvetica"/>
          <w:sz w:val="22"/>
          <w:szCs w:val="22"/>
        </w:rPr>
        <w:t xml:space="preserve"> </w:t>
      </w:r>
      <w:r w:rsidRPr="60F26DF0">
        <w:rPr>
          <w:rStyle w:val="FootnoteReference"/>
          <w:rFonts w:ascii="Helvetica" w:hAnsi="Helvetica" w:cs="Helvetica"/>
          <w:sz w:val="22"/>
          <w:szCs w:val="22"/>
        </w:rPr>
        <w:footnoteReference w:id="2"/>
      </w:r>
    </w:p>
    <w:p w14:paraId="0A1F79EE" w14:textId="7079CE81" w:rsidR="5DC7503D" w:rsidRDefault="0001147E" w:rsidP="00580441">
      <w:pPr>
        <w:pStyle w:val="paragraph"/>
        <w:spacing w:after="120" w:line="276" w:lineRule="auto"/>
        <w:jc w:val="center"/>
        <w:textAlignment w:val="baseline"/>
        <w:rPr>
          <w:rFonts w:ascii="Helvetica" w:hAnsi="Helvetica" w:cs="Helvetica"/>
          <w:sz w:val="22"/>
          <w:szCs w:val="22"/>
        </w:rPr>
      </w:pPr>
      <w:r>
        <w:rPr>
          <w:noProof/>
        </w:rPr>
        <w:drawing>
          <wp:inline distT="0" distB="0" distL="0" distR="0" wp14:anchorId="20B0EF32" wp14:editId="4A7DB1FE">
            <wp:extent cx="5791200" cy="4110567"/>
            <wp:effectExtent l="0" t="0" r="0" b="4445"/>
            <wp:docPr id="1134382570" name="Picture 70862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6222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3840" cy="4112441"/>
                    </a:xfrm>
                    <a:prstGeom prst="rect">
                      <a:avLst/>
                    </a:prstGeom>
                  </pic:spPr>
                </pic:pic>
              </a:graphicData>
            </a:graphic>
          </wp:inline>
        </w:drawing>
      </w:r>
    </w:p>
    <w:p w14:paraId="3E9B4CC4" w14:textId="11B01E8B" w:rsidR="0001147E" w:rsidRPr="00EB6812" w:rsidRDefault="0001147E" w:rsidP="5BED69C2">
      <w:pPr>
        <w:pStyle w:val="paragraph"/>
        <w:spacing w:after="120" w:line="276" w:lineRule="auto"/>
        <w:textAlignment w:val="baseline"/>
        <w:rPr>
          <w:rStyle w:val="FootnoteReference"/>
          <w:rFonts w:ascii="Helvetica" w:hAnsi="Helvetica" w:cs="Helvetica"/>
          <w:sz w:val="22"/>
          <w:szCs w:val="22"/>
        </w:rPr>
      </w:pPr>
      <w:r w:rsidRPr="5BED69C2">
        <w:rPr>
          <w:rStyle w:val="SubtleReference"/>
          <w:rFonts w:ascii="Helvetica" w:hAnsi="Helvetica" w:cs="Helvetica"/>
          <w:smallCaps w:val="0"/>
          <w:color w:val="auto"/>
          <w:sz w:val="22"/>
          <w:szCs w:val="22"/>
          <w:u w:val="none"/>
        </w:rPr>
        <w:lastRenderedPageBreak/>
        <w:t xml:space="preserve">The EITC and CTC are such important anti-poverty tax credits because they’re both fully or partially refundable. For low-to-moderate-income (LMI) families, refundable tax credits can be essential saving tools at tax time. The EITC is fully refundable, meaning that if it exceeds a low-wage worker’s income tax liability (what they owe on taxes), the IRS will refund the balance – for most eligible families with children, this was an average of $3,176 dollars back at tax time in 2016. </w:t>
      </w:r>
      <w:r w:rsidRPr="5D1D2CF0">
        <w:rPr>
          <w:rStyle w:val="FootnoteReference"/>
          <w:rFonts w:ascii="Helvetica" w:hAnsi="Helvetica" w:cs="Helvetica"/>
          <w:sz w:val="22"/>
          <w:szCs w:val="22"/>
        </w:rPr>
        <w:footnoteReference w:id="3"/>
      </w:r>
      <w:r w:rsidRPr="5BED69C2">
        <w:rPr>
          <w:rStyle w:val="SubtleReference"/>
          <w:rFonts w:ascii="Helvetica" w:hAnsi="Helvetica" w:cs="Helvetica"/>
          <w:smallCaps w:val="0"/>
          <w:color w:val="auto"/>
          <w:sz w:val="22"/>
          <w:szCs w:val="22"/>
          <w:u w:val="none"/>
        </w:rPr>
        <w:t xml:space="preserve"> </w:t>
      </w:r>
      <w:r w:rsidRPr="00EB6812">
        <w:rPr>
          <w:rFonts w:ascii="Helvetica" w:hAnsi="Helvetica" w:cs="Helvetica"/>
          <w:noProof/>
          <w:sz w:val="22"/>
          <w:szCs w:val="22"/>
        </w:rPr>
        <w:t xml:space="preserve">This successful program is designed to “make work pay;” in addition to supplementing low-wage work with additional income, the higher the income a person earns, the higher the EITC they receive. </w:t>
      </w:r>
    </w:p>
    <w:p w14:paraId="0D8218E6" w14:textId="217EBC5C" w:rsidR="00F7119C" w:rsidRPr="00EB6812" w:rsidRDefault="5BED69C2" w:rsidP="00AB25D3">
      <w:pPr>
        <w:pStyle w:val="paragraph"/>
        <w:spacing w:after="120" w:line="276" w:lineRule="auto"/>
        <w:rPr>
          <w:rFonts w:ascii="Helvetica" w:eastAsia="Helvetica" w:hAnsi="Helvetica" w:cs="Helvetica"/>
          <w:b/>
          <w:bCs/>
          <w:color w:val="C00000"/>
          <w:sz w:val="36"/>
          <w:szCs w:val="36"/>
        </w:rPr>
      </w:pPr>
      <w:r w:rsidRPr="5BED69C2">
        <w:rPr>
          <w:rStyle w:val="eop"/>
          <w:rFonts w:ascii="Helvetica" w:eastAsia="Helvetica" w:hAnsi="Helvetica" w:cs="Helvetica"/>
          <w:b/>
          <w:bCs/>
          <w:color w:val="C00000"/>
          <w:sz w:val="36"/>
          <w:szCs w:val="36"/>
        </w:rPr>
        <w:t>The Earned Income Tax Credit (EITC)</w:t>
      </w:r>
    </w:p>
    <w:p w14:paraId="5D1D87F5" w14:textId="5C16F1FD" w:rsidR="5BED69C2" w:rsidRDefault="5BED69C2" w:rsidP="00580441">
      <w:pPr>
        <w:pStyle w:val="paragraph"/>
        <w:spacing w:after="120" w:line="276" w:lineRule="auto"/>
        <w:jc w:val="center"/>
        <w:rPr>
          <w:rStyle w:val="eop"/>
          <w:rFonts w:ascii="Helvetica" w:eastAsia="Helvetica" w:hAnsi="Helvetica" w:cs="Helvetica"/>
          <w:b/>
          <w:bCs/>
          <w:color w:val="C00000"/>
          <w:sz w:val="36"/>
          <w:szCs w:val="36"/>
        </w:rPr>
      </w:pPr>
      <w:r>
        <w:rPr>
          <w:noProof/>
        </w:rPr>
        <w:drawing>
          <wp:inline distT="0" distB="0" distL="0" distR="0" wp14:anchorId="1961102E" wp14:editId="51F27183">
            <wp:extent cx="6344022" cy="4486275"/>
            <wp:effectExtent l="0" t="0" r="0" b="0"/>
            <wp:docPr id="451453901" name="Picture 45145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44022" cy="4486275"/>
                    </a:xfrm>
                    <a:prstGeom prst="rect">
                      <a:avLst/>
                    </a:prstGeom>
                  </pic:spPr>
                </pic:pic>
              </a:graphicData>
            </a:graphic>
          </wp:inline>
        </w:drawing>
      </w:r>
    </w:p>
    <w:p w14:paraId="37D9F258" w14:textId="081EDC94" w:rsidR="0001147E" w:rsidRPr="00EB6812" w:rsidRDefault="0001147E" w:rsidP="0001147E">
      <w:pPr>
        <w:spacing w:after="120" w:line="276" w:lineRule="auto"/>
        <w:jc w:val="both"/>
        <w:rPr>
          <w:rFonts w:ascii="Helvetica" w:hAnsi="Helvetica" w:cs="Helvetica"/>
        </w:rPr>
      </w:pPr>
      <w:commentRangeStart w:id="1"/>
      <w:commentRangeEnd w:id="1"/>
      <w:r w:rsidRPr="00EB6812">
        <w:rPr>
          <w:rFonts w:ascii="Helvetica" w:hAnsi="Helvetica" w:cs="Helvetica"/>
          <w:noProof/>
        </w:rPr>
        <w:t>As a credit, the EITC reduces a low-income family’s overall tax liability. It is fully refundable, so if a family’s EITC exceeds the amount of federal taxes owed, the family receives the difference as a refund.</w:t>
      </w:r>
      <w:r w:rsidRPr="00EB6812">
        <w:rPr>
          <w:rStyle w:val="FootnoteReference"/>
          <w:rFonts w:ascii="Helvetica" w:hAnsi="Helvetica" w:cs="Helvetica"/>
          <w:noProof/>
        </w:rPr>
        <w:footnoteReference w:id="4"/>
      </w:r>
      <w:r w:rsidRPr="00EB6812">
        <w:rPr>
          <w:rFonts w:ascii="Helvetica" w:hAnsi="Helvetica" w:cs="Helvetica"/>
          <w:noProof/>
        </w:rPr>
        <w:t xml:space="preserve"> The size of the EITC is calculated as a fixed percentage of the worker’s earnings. The credit “phases in,” meaning it increases with additional earnings until the maxiumum credit is reached (at about $14,290 for a family with three children). Once the EITC reaches the maximum, </w:t>
      </w:r>
      <w:r w:rsidRPr="00EB6812">
        <w:rPr>
          <w:rFonts w:ascii="Helvetica" w:hAnsi="Helvetica" w:cs="Helvetica"/>
          <w:noProof/>
        </w:rPr>
        <w:lastRenderedPageBreak/>
        <w:t>it begins “phasing out” providing a continued but decreasing refund for additional income earned until it disappears completely. This ensures that the EITC is targeted to those who need it. The amount of a person’s EITC depends on family size and marital status (see graph below).</w:t>
      </w:r>
      <w:r w:rsidRPr="00EB6812">
        <w:rPr>
          <w:rStyle w:val="FootnoteReference"/>
          <w:rFonts w:ascii="Helvetica" w:hAnsi="Helvetica" w:cs="Helvetica"/>
          <w:noProof/>
        </w:rPr>
        <w:footnoteReference w:id="5"/>
      </w:r>
      <w:r w:rsidRPr="00EB6812">
        <w:rPr>
          <w:rFonts w:ascii="Helvetica" w:hAnsi="Helvetica" w:cs="Helvetica"/>
          <w:noProof/>
          <w:sz w:val="40"/>
          <w:szCs w:val="40"/>
        </w:rPr>
        <w:t xml:space="preserve"> </w:t>
      </w:r>
      <w:r w:rsidRPr="00EB6812">
        <w:rPr>
          <w:rFonts w:ascii="Helvetica" w:hAnsi="Helvetica" w:cs="Helvetica"/>
          <w:noProof/>
        </w:rPr>
        <w:t xml:space="preserve">First enacted during President Gerald Ford’s administration as part of the </w:t>
      </w:r>
      <w:r w:rsidRPr="00EB6812">
        <w:rPr>
          <w:rFonts w:ascii="Helvetica" w:hAnsi="Helvetica" w:cs="Helvetica"/>
          <w:i/>
          <w:noProof/>
        </w:rPr>
        <w:t>Tax Reduction Act of 1975,</w:t>
      </w:r>
      <w:r w:rsidRPr="00EB6812">
        <w:rPr>
          <w:rFonts w:ascii="Helvetica" w:hAnsi="Helvetica" w:cs="Helvetica"/>
          <w:noProof/>
          <w:vertAlign w:val="superscript"/>
        </w:rPr>
        <w:t xml:space="preserve"> </w:t>
      </w:r>
      <w:r w:rsidRPr="00EB6812">
        <w:rPr>
          <w:rFonts w:ascii="Helvetica" w:hAnsi="Helvetica" w:cs="Helvetica"/>
          <w:noProof/>
        </w:rPr>
        <w:t>the EITC was intended “to offset the Social Security taxes of low-income workers with children and to provide those taxpayers with an increased incentive to work.”</w:t>
      </w:r>
      <w:r w:rsidRPr="00EB6812">
        <w:rPr>
          <w:rStyle w:val="FootnoteReference"/>
          <w:rFonts w:ascii="Helvetica" w:hAnsi="Helvetica" w:cs="Helvetica"/>
          <w:noProof/>
        </w:rPr>
        <w:footnoteReference w:id="6"/>
      </w:r>
      <w:r w:rsidRPr="00EB6812">
        <w:rPr>
          <w:rFonts w:ascii="Helvetica" w:hAnsi="Helvetica" w:cs="Helvetica"/>
          <w:noProof/>
        </w:rPr>
        <w:t xml:space="preserve">  Since its establishment, the EITC has become the nation’s leading anti-poverty program for working, low-income families. The credit has a long history of bipartisan support, having been expanded under both Republican and Democratic Congresses and presidents. In the </w:t>
      </w:r>
      <w:r w:rsidRPr="00EB6812">
        <w:rPr>
          <w:rFonts w:ascii="Helvetica" w:hAnsi="Helvetica" w:cs="Helvetica"/>
          <w:i/>
          <w:noProof/>
        </w:rPr>
        <w:t>Tax Reform Act of 1986</w:t>
      </w:r>
      <w:r w:rsidRPr="00EB6812">
        <w:rPr>
          <w:rFonts w:ascii="Helvetica" w:hAnsi="Helvetica" w:cs="Helvetica"/>
          <w:noProof/>
        </w:rPr>
        <w:t xml:space="preserve">, the EITC saw significant expansion, and later the </w:t>
      </w:r>
      <w:r w:rsidRPr="00EB6812">
        <w:rPr>
          <w:rFonts w:ascii="Helvetica" w:hAnsi="Helvetica" w:cs="Helvetica"/>
          <w:i/>
          <w:noProof/>
        </w:rPr>
        <w:t xml:space="preserve">Omnibus </w:t>
      </w:r>
      <w:r w:rsidRPr="00EB6812">
        <w:rPr>
          <w:rFonts w:ascii="Helvetica" w:hAnsi="Helvetica" w:cs="Helvetica"/>
          <w:i/>
        </w:rPr>
        <w:t>Budget Reconciliation Act of 1990</w:t>
      </w:r>
      <w:r w:rsidRPr="00EB6812">
        <w:rPr>
          <w:rFonts w:ascii="Helvetica" w:hAnsi="Helvetica" w:cs="Helvetica"/>
        </w:rPr>
        <w:t xml:space="preserve"> also expanded the credit and added a supplemental credit amount for families with two or more children.</w:t>
      </w:r>
      <w:r w:rsidR="00AB25D3" w:rsidRPr="00EB6812">
        <w:rPr>
          <w:rFonts w:ascii="Helvetica" w:hAnsi="Helvetica" w:cs="Helvetica"/>
        </w:rPr>
        <w:t xml:space="preserve"> </w:t>
      </w:r>
    </w:p>
    <w:p w14:paraId="7CCDF9E6" w14:textId="7FDF1998" w:rsidR="00AB25D3" w:rsidRPr="00EB6812" w:rsidRDefault="00AB25D3" w:rsidP="0001147E">
      <w:pPr>
        <w:spacing w:after="120" w:line="276" w:lineRule="auto"/>
        <w:jc w:val="both"/>
        <w:rPr>
          <w:rFonts w:ascii="Helvetica" w:hAnsi="Helvetica" w:cs="Helvetica"/>
          <w:noProof/>
        </w:rPr>
      </w:pPr>
      <w:r w:rsidRPr="00EB6812">
        <w:rPr>
          <w:rFonts w:ascii="Helvetica" w:hAnsi="Helvetica" w:cs="Helvetica"/>
          <w:noProof/>
        </w:rPr>
        <w:t xml:space="preserve">RESULTS volunteers played a critical role in making </w:t>
      </w:r>
      <w:r w:rsidR="003246D5">
        <w:rPr>
          <w:rFonts w:ascii="Helvetica" w:hAnsi="Helvetica" w:cs="Helvetica"/>
          <w:noProof/>
        </w:rPr>
        <w:t xml:space="preserve">key </w:t>
      </w:r>
      <w:r w:rsidR="00D56576" w:rsidRPr="00EB6812">
        <w:rPr>
          <w:rFonts w:ascii="Helvetica" w:hAnsi="Helvetica" w:cs="Helvetica"/>
          <w:noProof/>
        </w:rPr>
        <w:t>EITC and CTC provisions permanent i</w:t>
      </w:r>
      <w:r w:rsidRPr="00EB6812">
        <w:rPr>
          <w:rFonts w:ascii="Helvetica" w:hAnsi="Helvetica" w:cs="Helvetica"/>
          <w:noProof/>
        </w:rPr>
        <w:t xml:space="preserve">n </w:t>
      </w:r>
      <w:r w:rsidR="00B65237" w:rsidRPr="00EB6812">
        <w:rPr>
          <w:rFonts w:ascii="Helvetica" w:hAnsi="Helvetica" w:cs="Helvetica"/>
          <w:noProof/>
        </w:rPr>
        <w:t xml:space="preserve">thhe </w:t>
      </w:r>
      <w:r w:rsidR="007C40A7" w:rsidRPr="00EB6812">
        <w:rPr>
          <w:rFonts w:ascii="Helvetica" w:hAnsi="Helvetica" w:cs="Helvetica"/>
          <w:noProof/>
        </w:rPr>
        <w:t xml:space="preserve">bipartisan </w:t>
      </w:r>
      <w:r w:rsidR="00B65237" w:rsidRPr="00EB6812">
        <w:rPr>
          <w:rFonts w:ascii="Helvetica" w:hAnsi="Helvetica" w:cs="Helvetica"/>
          <w:i/>
          <w:noProof/>
        </w:rPr>
        <w:t>Protecting Americans from Tax Hikes (PATH) Act of</w:t>
      </w:r>
      <w:r w:rsidRPr="00EB6812">
        <w:rPr>
          <w:rFonts w:ascii="Helvetica" w:hAnsi="Helvetica" w:cs="Helvetica"/>
          <w:i/>
          <w:noProof/>
        </w:rPr>
        <w:t xml:space="preserve"> 2015</w:t>
      </w:r>
      <w:r w:rsidRPr="00EB6812">
        <w:rPr>
          <w:rFonts w:ascii="Helvetica" w:hAnsi="Helvetica" w:cs="Helvetica"/>
          <w:noProof/>
        </w:rPr>
        <w:t xml:space="preserve">, increasing the </w:t>
      </w:r>
      <w:r w:rsidR="007F0E87" w:rsidRPr="00EB6812">
        <w:rPr>
          <w:rFonts w:ascii="Helvetica" w:hAnsi="Helvetica" w:cs="Helvetica"/>
          <w:noProof/>
        </w:rPr>
        <w:t>EITC</w:t>
      </w:r>
      <w:r w:rsidRPr="00EB6812">
        <w:rPr>
          <w:rFonts w:ascii="Helvetica" w:hAnsi="Helvetica" w:cs="Helvetica"/>
          <w:noProof/>
        </w:rPr>
        <w:t xml:space="preserve"> for larger families and reducing the marriage penalty for joint filers</w:t>
      </w:r>
      <w:r w:rsidR="007F0E87" w:rsidRPr="00EB6812">
        <w:rPr>
          <w:rFonts w:ascii="Helvetica" w:hAnsi="Helvetica" w:cs="Helvetica"/>
          <w:noProof/>
        </w:rPr>
        <w:t xml:space="preserve"> while </w:t>
      </w:r>
      <w:r w:rsidRPr="00EB6812">
        <w:rPr>
          <w:rFonts w:ascii="Helvetica" w:hAnsi="Helvetica" w:cs="Helvetica"/>
          <w:noProof/>
        </w:rPr>
        <w:t>lower</w:t>
      </w:r>
      <w:r w:rsidR="007F0E87" w:rsidRPr="00EB6812">
        <w:rPr>
          <w:rFonts w:ascii="Helvetica" w:hAnsi="Helvetica" w:cs="Helvetica"/>
          <w:noProof/>
        </w:rPr>
        <w:t>ing the</w:t>
      </w:r>
      <w:r w:rsidRPr="00EB6812">
        <w:rPr>
          <w:rFonts w:ascii="Helvetica" w:hAnsi="Helvetica" w:cs="Helvetica"/>
          <w:noProof/>
        </w:rPr>
        <w:t xml:space="preserve"> income eligibility threshold for the CTC</w:t>
      </w:r>
      <w:r w:rsidR="007F0E87" w:rsidRPr="00EB6812">
        <w:rPr>
          <w:rFonts w:ascii="Helvetica" w:hAnsi="Helvetica" w:cs="Helvetica"/>
          <w:noProof/>
        </w:rPr>
        <w:t xml:space="preserve"> to $3,000</w:t>
      </w:r>
      <w:r w:rsidRPr="00EB6812">
        <w:rPr>
          <w:rFonts w:ascii="Helvetica" w:hAnsi="Helvetica" w:cs="Helvetica"/>
          <w:noProof/>
        </w:rPr>
        <w:t xml:space="preserve">. Through 225 meetings with members of Congress and 145 media pieces </w:t>
      </w:r>
      <w:r w:rsidR="007F0E87" w:rsidRPr="00EB6812">
        <w:rPr>
          <w:rFonts w:ascii="Helvetica" w:hAnsi="Helvetica" w:cs="Helvetica"/>
          <w:noProof/>
        </w:rPr>
        <w:t>throughout 2014-2015</w:t>
      </w:r>
      <w:r w:rsidRPr="00EB6812">
        <w:rPr>
          <w:rFonts w:ascii="Helvetica" w:hAnsi="Helvetica" w:cs="Helvetica"/>
          <w:noProof/>
        </w:rPr>
        <w:t xml:space="preserve">, RESULTS vounteers played a key role in </w:t>
      </w:r>
      <w:r w:rsidR="00EC28AD" w:rsidRPr="00EB6812">
        <w:rPr>
          <w:rFonts w:ascii="Helvetica" w:hAnsi="Helvetica" w:cs="Helvetica"/>
          <w:noProof/>
        </w:rPr>
        <w:t>lifting</w:t>
      </w:r>
      <w:r w:rsidR="00442F3D" w:rsidRPr="00EB6812">
        <w:rPr>
          <w:rFonts w:ascii="Helvetica" w:hAnsi="Helvetica" w:cs="Helvetica"/>
          <w:noProof/>
        </w:rPr>
        <w:t xml:space="preserve"> incomes</w:t>
      </w:r>
      <w:r w:rsidR="00EC28AD" w:rsidRPr="00EB6812">
        <w:rPr>
          <w:rFonts w:ascii="Helvetica" w:hAnsi="Helvetica" w:cs="Helvetica"/>
          <w:noProof/>
        </w:rPr>
        <w:t xml:space="preserve"> above or closer for m</w:t>
      </w:r>
      <w:r w:rsidRPr="00EB6812">
        <w:rPr>
          <w:rFonts w:ascii="Helvetica" w:hAnsi="Helvetica" w:cs="Helvetica"/>
          <w:noProof/>
        </w:rPr>
        <w:t>ore than 16 million people, including 8 million children, were. This is one of the biggest anti-poverty legislative victories in twenty years, and one that RESULTS volunteers played a critical role in achieving.</w:t>
      </w:r>
    </w:p>
    <w:p w14:paraId="476D34C9" w14:textId="0400C3FA" w:rsidR="00442F3D" w:rsidRPr="00EB6812" w:rsidRDefault="00442F3D" w:rsidP="0001147E">
      <w:pPr>
        <w:spacing w:after="120" w:line="276" w:lineRule="auto"/>
        <w:jc w:val="both"/>
        <w:rPr>
          <w:rFonts w:ascii="Helvetica" w:hAnsi="Helvetica" w:cs="Helvetica"/>
        </w:rPr>
      </w:pPr>
      <w:r w:rsidRPr="00EB6812">
        <w:rPr>
          <w:rFonts w:ascii="Helvetica" w:hAnsi="Helvetica" w:cs="Helvetica"/>
        </w:rPr>
        <w:t>Research shows the positive impact of the EITC:</w:t>
      </w:r>
    </w:p>
    <w:p w14:paraId="1D61C4AC" w14:textId="2CDC3898" w:rsidR="0001147E" w:rsidRPr="00EB6812" w:rsidRDefault="0001147E" w:rsidP="5BED69C2">
      <w:pPr>
        <w:pStyle w:val="ListParagraph"/>
        <w:numPr>
          <w:ilvl w:val="0"/>
          <w:numId w:val="13"/>
        </w:numPr>
        <w:spacing w:after="120" w:line="276" w:lineRule="auto"/>
        <w:contextualSpacing w:val="0"/>
        <w:jc w:val="both"/>
        <w:rPr>
          <w:b/>
          <w:bCs/>
          <w:noProof/>
          <w:vertAlign w:val="superscript"/>
        </w:rPr>
      </w:pPr>
      <w:r w:rsidRPr="5BED69C2">
        <w:rPr>
          <w:rFonts w:ascii="Helvetica" w:hAnsi="Helvetica" w:cs="Helvetica"/>
          <w:b/>
          <w:bCs/>
          <w:noProof/>
        </w:rPr>
        <w:t>The EITC has proven to be an effective anti-poverty program.</w:t>
      </w:r>
      <w:r w:rsidRPr="00EB6812">
        <w:rPr>
          <w:rFonts w:ascii="Helvetica" w:hAnsi="Helvetica" w:cs="Helvetica"/>
          <w:noProof/>
        </w:rPr>
        <w:t xml:space="preserve"> </w:t>
      </w:r>
      <w:r w:rsidR="5BED69C2" w:rsidRPr="5BED69C2">
        <w:rPr>
          <w:rFonts w:ascii="Helvetica" w:eastAsia="Helvetica" w:hAnsi="Helvetica" w:cs="Helvetica"/>
          <w:noProof/>
        </w:rPr>
        <w:t xml:space="preserve">In 2016, the EITC lifted about 5.8 million people </w:t>
      </w:r>
      <w:r w:rsidR="007E7399">
        <w:rPr>
          <w:rFonts w:ascii="Helvetica" w:eastAsia="Helvetica" w:hAnsi="Helvetica" w:cs="Helvetica"/>
          <w:noProof/>
        </w:rPr>
        <w:t>above the</w:t>
      </w:r>
      <w:r w:rsidR="5BED69C2" w:rsidRPr="5BED69C2">
        <w:rPr>
          <w:rFonts w:ascii="Helvetica" w:eastAsia="Helvetica" w:hAnsi="Helvetica" w:cs="Helvetica"/>
          <w:noProof/>
        </w:rPr>
        <w:t xml:space="preserve"> poverty</w:t>
      </w:r>
      <w:r w:rsidR="007E7399">
        <w:rPr>
          <w:rFonts w:ascii="Helvetica" w:eastAsia="Helvetica" w:hAnsi="Helvetica" w:cs="Helvetica"/>
          <w:noProof/>
        </w:rPr>
        <w:t xml:space="preserve"> line</w:t>
      </w:r>
      <w:r w:rsidR="5BED69C2" w:rsidRPr="5BED69C2">
        <w:rPr>
          <w:rFonts w:ascii="Helvetica" w:eastAsia="Helvetica" w:hAnsi="Helvetica" w:cs="Helvetica"/>
          <w:noProof/>
        </w:rPr>
        <w:t>, including about 3 million children. The number of poor children would have been more than one-quarter higher without the EITC. The credit reduced the severity of poverty for another 18.7 million people, including 6.9 million children</w:t>
      </w:r>
      <w:r w:rsidR="007B5731">
        <w:rPr>
          <w:rFonts w:ascii="Helvetica" w:eastAsia="Helvetica" w:hAnsi="Helvetica" w:cs="Helvetica"/>
          <w:noProof/>
        </w:rPr>
        <w:t>.</w:t>
      </w:r>
      <w:r w:rsidRPr="00EB6812">
        <w:rPr>
          <w:rStyle w:val="FootnoteReference"/>
          <w:rFonts w:ascii="Helvetica" w:hAnsi="Helvetica" w:cs="Helvetica"/>
          <w:noProof/>
        </w:rPr>
        <w:footnoteReference w:id="7"/>
      </w:r>
      <w:r w:rsidRPr="00EB6812">
        <w:rPr>
          <w:rFonts w:ascii="Helvetica" w:hAnsi="Helvetica" w:cs="Helvetica"/>
          <w:noProof/>
          <w:vertAlign w:val="superscript"/>
        </w:rPr>
        <w:t xml:space="preserve"> </w:t>
      </w:r>
      <w:r w:rsidRPr="00EB6812">
        <w:rPr>
          <w:rFonts w:ascii="Helvetica" w:hAnsi="Helvetica" w:cs="Helvetica"/>
          <w:noProof/>
        </w:rPr>
        <w:t>The EITC (together with the Child Tax Credit) is the largest contributor to preventing poverty for working families.</w:t>
      </w:r>
      <w:r w:rsidR="007B5731" w:rsidRPr="007B5731">
        <w:rPr>
          <w:rFonts w:ascii="Helvetica" w:hAnsi="Helvetica" w:cs="Helvetica"/>
          <w:color w:val="666666"/>
          <w:shd w:val="clear" w:color="auto" w:fill="FFFFFF"/>
        </w:rPr>
        <w:t xml:space="preserve"> </w:t>
      </w:r>
      <w:r w:rsidR="007B5731" w:rsidRPr="007B5731">
        <w:rPr>
          <w:rFonts w:ascii="Helvetica" w:hAnsi="Helvetica" w:cs="Helvetica"/>
          <w:noProof/>
        </w:rPr>
        <w:t>In 2018, the earned income tax credit (EITC) will provide credits ranging from $519 for workers with no children to $6,431 for workers with at least three children</w:t>
      </w:r>
      <w:r w:rsidR="007B5731">
        <w:rPr>
          <w:rFonts w:ascii="Helvetica" w:hAnsi="Helvetica" w:cs="Helvetica"/>
          <w:noProof/>
        </w:rPr>
        <w:t>.</w:t>
      </w:r>
      <w:r w:rsidR="000D4BCA">
        <w:rPr>
          <w:rFonts w:ascii="Helvetica" w:hAnsi="Helvetica" w:cs="Helvetica"/>
          <w:noProof/>
        </w:rPr>
        <w:t xml:space="preserve"> T</w:t>
      </w:r>
      <w:r w:rsidR="00750ECF" w:rsidRPr="00750ECF">
        <w:rPr>
          <w:rFonts w:ascii="Helvetica" w:hAnsi="Helvetica" w:cs="Helvetica"/>
          <w:noProof/>
        </w:rPr>
        <w:t>he most recent relevant study found that a $1,000 increase in the EITC led to a 7.3 percentage point increase in employment and a 9.4 percentage point reduction in the share of families with after tax and transfer income in poverty</w:t>
      </w:r>
      <w:r w:rsidR="004D7F74">
        <w:rPr>
          <w:rFonts w:ascii="Helvetica" w:hAnsi="Helvetica" w:cs="Helvetica"/>
          <w:noProof/>
        </w:rPr>
        <w:t>.</w:t>
      </w:r>
      <w:r w:rsidR="004D7F74">
        <w:rPr>
          <w:rStyle w:val="FootnoteReference"/>
          <w:rFonts w:ascii="Helvetica" w:hAnsi="Helvetica" w:cs="Helvetica"/>
          <w:noProof/>
        </w:rPr>
        <w:footnoteReference w:id="8"/>
      </w:r>
      <w:r w:rsidR="00750ECF" w:rsidRPr="00750ECF">
        <w:rPr>
          <w:rFonts w:ascii="Helvetica" w:hAnsi="Helvetica" w:cs="Helvetica"/>
          <w:noProof/>
        </w:rPr>
        <w:t> </w:t>
      </w:r>
    </w:p>
    <w:p w14:paraId="4AC2B634" w14:textId="77777777"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color w:val="2B579A"/>
          <w:shd w:val="clear" w:color="auto" w:fill="E6E6E6"/>
        </w:rPr>
        <w:lastRenderedPageBreak/>
        <w:drawing>
          <wp:anchor distT="0" distB="0" distL="114300" distR="114300" simplePos="0" relativeHeight="251658241" behindDoc="0" locked="0" layoutInCell="1" allowOverlap="1" wp14:anchorId="6F8B0658" wp14:editId="437F4E70">
            <wp:simplePos x="0" y="0"/>
            <wp:positionH relativeFrom="margin">
              <wp:align>right</wp:align>
            </wp:positionH>
            <wp:positionV relativeFrom="paragraph">
              <wp:posOffset>-467508</wp:posOffset>
            </wp:positionV>
            <wp:extent cx="2211070" cy="3189605"/>
            <wp:effectExtent l="19050" t="19050" r="17780" b="10795"/>
            <wp:wrapSquare wrapText="bothSides"/>
            <wp:docPr id="16" name="irc_mi" descr="http://www.taxcreditsforworkingfamilies.org/wp-content/uploads/2014/03/CBPP-EITC-Boosts-Working-Hours-and-Earnings-Later-in-Life-291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xcreditsforworkingfamilies.org/wp-content/uploads/2014/03/CBPP-EITC-Boosts-Working-Hours-and-Earnings-Later-in-Life-291x300.jpg">
                      <a:hlinkClick r:id="rId15"/>
                    </pic:cNvPr>
                    <pic:cNvPicPr>
                      <a:picLocks noChangeAspect="1" noChangeArrowheads="1"/>
                    </pic:cNvPicPr>
                  </pic:nvPicPr>
                  <pic:blipFill>
                    <a:blip r:embed="rId16" cstate="print"/>
                    <a:srcRect b="21196"/>
                    <a:stretch>
                      <a:fillRect/>
                    </a:stretch>
                  </pic:blipFill>
                  <pic:spPr bwMode="auto">
                    <a:xfrm>
                      <a:off x="0" y="0"/>
                      <a:ext cx="2211070" cy="3189605"/>
                    </a:xfrm>
                    <a:prstGeom prst="rect">
                      <a:avLst/>
                    </a:prstGeom>
                    <a:noFill/>
                    <a:ln w="12700" cmpd="sng">
                      <a:solidFill>
                        <a:schemeClr val="tx1"/>
                      </a:solidFill>
                    </a:ln>
                  </pic:spPr>
                </pic:pic>
              </a:graphicData>
            </a:graphic>
          </wp:anchor>
        </w:drawing>
      </w:r>
      <w:r w:rsidRPr="00EB6812">
        <w:rPr>
          <w:rFonts w:ascii="Helvetica" w:hAnsi="Helvetica" w:cs="Helvetica"/>
          <w:b/>
          <w:noProof/>
        </w:rPr>
        <w:t>Infant health is positively linked with increases in the EITC.</w:t>
      </w:r>
      <w:r w:rsidRPr="00EB6812">
        <w:rPr>
          <w:rFonts w:ascii="Helvetica" w:hAnsi="Helvetica" w:cs="Helvetica"/>
          <w:noProof/>
        </w:rPr>
        <w:t xml:space="preserve"> Research reveals a positive correlation between increased EITCs and infant health markers such as birthweight and premature birth, so that higher EITCs result in healthier birthweights and fewer premature births.</w:t>
      </w:r>
      <w:r w:rsidRPr="00EB6812">
        <w:rPr>
          <w:rStyle w:val="FootnoteReference"/>
          <w:rFonts w:ascii="Helvetica" w:hAnsi="Helvetica" w:cs="Helvetica"/>
          <w:noProof/>
        </w:rPr>
        <w:footnoteReference w:id="9"/>
      </w:r>
      <w:r w:rsidRPr="00EB6812">
        <w:rPr>
          <w:rFonts w:ascii="Helvetica" w:hAnsi="Helvetica" w:cs="Helvetica"/>
          <w:noProof/>
        </w:rPr>
        <w:t xml:space="preserve"> </w:t>
      </w:r>
    </w:p>
    <w:p w14:paraId="2AD4B9D1" w14:textId="77777777"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rPr>
        <w:t>The EITC strengthens work and earnings in the next generation.</w:t>
      </w:r>
      <w:r w:rsidRPr="00EB6812">
        <w:rPr>
          <w:rFonts w:ascii="Helvetica" w:hAnsi="Helvetica" w:cs="Helvetica"/>
          <w:noProof/>
        </w:rPr>
        <w:t xml:space="preserve"> Research has found that for children in low-income families, each additional $3,000 per year received before age 6 correlates with an average yearly increase of 135 work hours between the ages of </w:t>
      </w:r>
      <w:r w:rsidRPr="006C374B">
        <w:rPr>
          <w:rFonts w:ascii="Helvetica" w:hAnsi="Helvetica" w:cs="Helvetica"/>
          <w:noProof/>
        </w:rPr>
        <w:t>25</w:t>
      </w:r>
      <w:r w:rsidRPr="00EB6812">
        <w:rPr>
          <w:rFonts w:ascii="Helvetica" w:hAnsi="Helvetica" w:cs="Helvetica"/>
          <w:noProof/>
        </w:rPr>
        <w:t xml:space="preserve"> and 37, and their average annual earnings increase by 17 percent.</w:t>
      </w:r>
      <w:r w:rsidRPr="00EB6812">
        <w:rPr>
          <w:rStyle w:val="FootnoteReference"/>
          <w:rFonts w:ascii="Helvetica" w:hAnsi="Helvetica" w:cs="Helvetica"/>
          <w:noProof/>
        </w:rPr>
        <w:footnoteReference w:id="10"/>
      </w:r>
      <w:r w:rsidRPr="00EB6812">
        <w:rPr>
          <w:rFonts w:ascii="Helvetica" w:hAnsi="Helvetica" w:cs="Helvetica"/>
          <w:noProof/>
          <w:vertAlign w:val="superscript"/>
        </w:rPr>
        <w:t xml:space="preserve"> </w:t>
      </w:r>
      <w:r w:rsidRPr="00EB6812">
        <w:rPr>
          <w:rFonts w:ascii="Helvetica" w:hAnsi="Helvetica" w:cs="Helvetica"/>
        </w:rPr>
        <w:t>In addition, by boosting the employment and earnings of working-age women, the EITC boosts the size of the Social Security retirement benefits they ultimately will receive.</w:t>
      </w:r>
    </w:p>
    <w:p w14:paraId="3DE940FF" w14:textId="77777777"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rPr>
        <w:t>EITC children do better in school</w:t>
      </w:r>
      <w:r w:rsidRPr="00EB6812">
        <w:rPr>
          <w:rFonts w:ascii="Helvetica" w:hAnsi="Helvetica" w:cs="Helvetica"/>
          <w:noProof/>
        </w:rPr>
        <w:t>. Elementary and middle-school students earn higher test scores when their families receive larger refundable tax credits (such as the EITC and CTC).</w:t>
      </w:r>
      <w:r w:rsidRPr="00EB6812">
        <w:rPr>
          <w:rFonts w:ascii="Helvetica" w:hAnsi="Helvetica" w:cs="Helvetica"/>
          <w:noProof/>
          <w:vertAlign w:val="superscript"/>
        </w:rPr>
        <w:t xml:space="preserve">  </w:t>
      </w:r>
      <w:r w:rsidRPr="00EB6812">
        <w:rPr>
          <w:rFonts w:ascii="Helvetica" w:hAnsi="Helvetica" w:cs="Helvetica"/>
          <w:noProof/>
        </w:rPr>
        <w:t>In addition, low-income children are more likely to go to college when their families have benefited from the EITC.</w:t>
      </w:r>
      <w:r w:rsidRPr="00EB6812">
        <w:rPr>
          <w:rStyle w:val="FootnoteReference"/>
          <w:rFonts w:ascii="Helvetica" w:hAnsi="Helvetica" w:cs="Helvetica"/>
          <w:noProof/>
        </w:rPr>
        <w:footnoteReference w:id="11"/>
      </w:r>
    </w:p>
    <w:p w14:paraId="386F47B6" w14:textId="77777777"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rPr>
        <w:t>The EITC strengthens local economies.</w:t>
      </w:r>
      <w:r w:rsidRPr="00EB6812">
        <w:rPr>
          <w:rFonts w:ascii="Helvetica" w:hAnsi="Helvetica" w:cs="Helvetica"/>
          <w:noProof/>
        </w:rPr>
        <w:t xml:space="preserve"> The EITC refund checks are often spent quickly and locally, resulting in at least $1.50-$2.00 in local economic activity for every $1 claimed.</w:t>
      </w:r>
      <w:r w:rsidRPr="00EB6812">
        <w:rPr>
          <w:rStyle w:val="FootnoteReference"/>
          <w:rFonts w:ascii="Helvetica" w:hAnsi="Helvetica" w:cs="Helvetica"/>
          <w:noProof/>
        </w:rPr>
        <w:footnoteReference w:id="12"/>
      </w:r>
    </w:p>
    <w:p w14:paraId="201ED920" w14:textId="064153DB"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noProof/>
          <w:color w:val="AF1F2E"/>
          <w:sz w:val="32"/>
          <w:szCs w:val="32"/>
          <w:shd w:val="clear" w:color="auto" w:fill="E6E6E6"/>
        </w:rPr>
        <mc:AlternateContent>
          <mc:Choice Requires="wps">
            <w:drawing>
              <wp:anchor distT="91440" distB="91440" distL="114300" distR="114300" simplePos="0" relativeHeight="251658240" behindDoc="0" locked="0" layoutInCell="0" allowOverlap="1" wp14:anchorId="05F0EAE5" wp14:editId="066FFC42">
                <wp:simplePos x="0" y="0"/>
                <wp:positionH relativeFrom="page">
                  <wp:posOffset>3856990</wp:posOffset>
                </wp:positionH>
                <wp:positionV relativeFrom="margin">
                  <wp:posOffset>31493460</wp:posOffset>
                </wp:positionV>
                <wp:extent cx="2923540" cy="7296150"/>
                <wp:effectExtent l="0" t="0" r="0" b="0"/>
                <wp:wrapSquare wrapText="bothSides"/>
                <wp:docPr id="2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3540" cy="7296150"/>
                        </a:xfrm>
                        <a:prstGeom prst="rect">
                          <a:avLst/>
                        </a:prstGeom>
                        <a:solidFill>
                          <a:schemeClr val="accent2">
                            <a:lumMod val="20000"/>
                            <a:lumOff val="8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tl" rotWithShape="0">
                                  <a:srgbClr val="000000">
                                    <a:alpha val="39999"/>
                                  </a:srgbClr>
                                </a:outerShdw>
                              </a:effectLst>
                            </a14:hiddenEffects>
                          </a:ext>
                        </a:extLst>
                      </wps:spPr>
                      <wps:txbx>
                        <w:txbxContent>
                          <w:p w14:paraId="0421F4CD" w14:textId="77777777" w:rsidR="0001147E" w:rsidRPr="000F5CB5" w:rsidRDefault="0001147E" w:rsidP="0001147E">
                            <w:pPr>
                              <w:rPr>
                                <w:rFonts w:ascii="Helvetica" w:hAnsi="Helvetica" w:cs="Helvetica"/>
                                <w:b/>
                                <w:sz w:val="20"/>
                                <w:szCs w:val="20"/>
                              </w:rPr>
                            </w:pPr>
                            <w:r>
                              <w:rPr>
                                <w:rFonts w:ascii="Helvetica" w:hAnsi="Helvetica" w:cs="Helvetica"/>
                                <w:b/>
                                <w:sz w:val="20"/>
                                <w:szCs w:val="20"/>
                              </w:rPr>
                              <w:t>Three Tools Used to Perpetuate Racial Discrimination in Housing</w:t>
                            </w:r>
                          </w:p>
                          <w:p w14:paraId="25B90ED4" w14:textId="77777777" w:rsidR="0001147E" w:rsidRPr="00B66CF7" w:rsidRDefault="0001147E" w:rsidP="0001147E">
                            <w:pPr>
                              <w:rPr>
                                <w:rFonts w:ascii="Helvetica" w:hAnsi="Helvetica" w:cs="Helvetica"/>
                                <w:sz w:val="20"/>
                                <w:szCs w:val="20"/>
                              </w:rPr>
                            </w:pPr>
                          </w:p>
                          <w:p w14:paraId="477A90E4"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Redlining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w:t>
                            </w:r>
                            <w:r w:rsidRPr="00B66CF7">
                              <w:rPr>
                                <w:rFonts w:ascii="Helvetica" w:hAnsi="Helvetica" w:cs="Helvetica"/>
                                <w:sz w:val="20"/>
                                <w:szCs w:val="20"/>
                              </w:rPr>
                              <w:t>The practice of arbitrarily denying or limiting financial services to specific neighborhoods, generally because its residents are people of color or are poor. While discriminatory practices existed in the banking and insurance industries well before the 1930s, the </w:t>
                            </w:r>
                            <w:hyperlink r:id="rId17" w:tgtFrame="_blank" w:history="1">
                              <w:r w:rsidRPr="00B66CF7">
                                <w:rPr>
                                  <w:rFonts w:ascii="Helvetica" w:hAnsi="Helvetica" w:cs="Helvetica"/>
                                  <w:sz w:val="20"/>
                                  <w:szCs w:val="20"/>
                                </w:rPr>
                                <w:t>New Deal's</w:t>
                              </w:r>
                            </w:hyperlink>
                            <w:r w:rsidRPr="00B66CF7">
                              <w:rPr>
                                <w:rFonts w:ascii="Helvetica" w:hAnsi="Helvetica" w:cs="Helvetica"/>
                                <w:sz w:val="20"/>
                                <w:szCs w:val="20"/>
                              </w:rPr>
                              <w:t> Home Owners' Loan Corporation (HOLC) instituted a redlining policy by developing color-coded maps of American cities that used racial criteria to categorize lending and insurance risks. New, affluent, racially homogeneous housing areas received green lines while black and poor white neighborhoods were often circumscribed by red lines denoting their undesirability.</w:t>
                            </w:r>
                            <w:r>
                              <w:rPr>
                                <w:rFonts w:ascii="Helvetica" w:hAnsi="Helvetica" w:cs="Helvetica"/>
                                <w:sz w:val="20"/>
                                <w:szCs w:val="20"/>
                              </w:rPr>
                              <w:t>”</w:t>
                            </w:r>
                          </w:p>
                          <w:p w14:paraId="4415454F"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Blockbusting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“T</w:t>
                            </w:r>
                            <w:r w:rsidRPr="00B66CF7">
                              <w:rPr>
                                <w:rFonts w:ascii="Helvetica" w:hAnsi="Helvetica" w:cs="Helvetica"/>
                                <w:sz w:val="20"/>
                                <w:szCs w:val="20"/>
                              </w:rPr>
                              <w:t>he efforts of </w:t>
                            </w:r>
                            <w:hyperlink r:id="rId18" w:tgtFrame="_blank" w:history="1">
                              <w:r w:rsidRPr="00B66CF7">
                                <w:rPr>
                                  <w:rFonts w:ascii="Helvetica" w:hAnsi="Helvetica" w:cs="Helvetica"/>
                                  <w:sz w:val="20"/>
                                  <w:szCs w:val="20"/>
                                </w:rPr>
                                <w:t>real-estate</w:t>
                              </w:r>
                            </w:hyperlink>
                            <w:r w:rsidRPr="00B66CF7">
                              <w:rPr>
                                <w:rFonts w:ascii="Helvetica" w:hAnsi="Helvetica" w:cs="Helvetica"/>
                                <w:sz w:val="20"/>
                                <w:szCs w:val="20"/>
                              </w:rPr>
                              <w:t> agents and real-estate speculators to trigger the turnover of white-owned property and homes to </w:t>
                            </w:r>
                            <w:hyperlink r:id="rId19" w:tgtFrame="_blank" w:history="1">
                              <w:r w:rsidRPr="00B66CF7">
                                <w:rPr>
                                  <w:rFonts w:ascii="Helvetica" w:hAnsi="Helvetica" w:cs="Helvetica"/>
                                  <w:sz w:val="20"/>
                                  <w:szCs w:val="20"/>
                                </w:rPr>
                                <w:t>African Americans</w:t>
                              </w:r>
                            </w:hyperlink>
                            <w:r w:rsidRPr="00B66CF7">
                              <w:rPr>
                                <w:rFonts w:ascii="Helvetica" w:hAnsi="Helvetica" w:cs="Helvetica"/>
                                <w:sz w:val="20"/>
                                <w:szCs w:val="20"/>
                              </w:rPr>
                              <w:t>. Often characterized as “panic peddling,” such practices frequently accompanied the expansion of black areas of residence and the entry of African Americans into neighborhoods previously denied to them. In evidence as early as 1900, blockbusting techniques included the repeated—often incessant—urging of white homeowners in areas adjacent to or near black communities to sell before it became “too late” and their property values diminished.</w:t>
                            </w:r>
                            <w:r>
                              <w:rPr>
                                <w:rFonts w:ascii="Helvetica" w:hAnsi="Helvetica" w:cs="Helvetica"/>
                                <w:sz w:val="20"/>
                                <w:szCs w:val="20"/>
                              </w:rPr>
                              <w:t>”</w:t>
                            </w:r>
                          </w:p>
                          <w:p w14:paraId="7F10B04D" w14:textId="77777777" w:rsidR="0001147E" w:rsidRPr="00B66CF7" w:rsidRDefault="0001147E" w:rsidP="0001147E">
                            <w:pPr>
                              <w:rPr>
                                <w:rFonts w:ascii="Helvetica" w:hAnsi="Helvetica" w:cs="Helvetica"/>
                                <w:sz w:val="20"/>
                                <w:szCs w:val="20"/>
                                <w:shd w:val="clear" w:color="auto" w:fill="FFFFFF"/>
                              </w:rPr>
                            </w:pPr>
                            <w:r w:rsidRPr="00C67826">
                              <w:rPr>
                                <w:rFonts w:ascii="Helvetica" w:hAnsi="Helvetica" w:cs="Helvetica"/>
                                <w:b/>
                                <w:color w:val="AF1F2C"/>
                                <w:sz w:val="20"/>
                                <w:szCs w:val="20"/>
                              </w:rPr>
                              <w:t>Zoning Laws</w:t>
                            </w:r>
                            <w:r w:rsidRPr="00C67826">
                              <w:rPr>
                                <w:rFonts w:ascii="Helvetica" w:hAnsi="Helvetica" w:cs="Helvetica"/>
                                <w:b/>
                                <w:sz w:val="20"/>
                                <w:szCs w:val="20"/>
                              </w:rPr>
                              <w:t>:</w:t>
                            </w:r>
                            <w:r>
                              <w:rPr>
                                <w:rFonts w:ascii="Helvetica" w:hAnsi="Helvetica" w:cs="Helvetica"/>
                                <w:color w:val="AF1F2C"/>
                                <w:sz w:val="20"/>
                                <w:szCs w:val="20"/>
                              </w:rPr>
                              <w:t xml:space="preserve"> </w:t>
                            </w:r>
                            <w:r w:rsidRPr="0050242F">
                              <w:rPr>
                                <w:rFonts w:ascii="Helvetica" w:hAnsi="Helvetica" w:cs="Helvetica"/>
                                <w:sz w:val="20"/>
                                <w:szCs w:val="20"/>
                              </w:rPr>
                              <w:t>“</w:t>
                            </w:r>
                            <w:r w:rsidRPr="00B66CF7">
                              <w:rPr>
                                <w:rFonts w:ascii="Helvetica" w:hAnsi="Helvetica" w:cs="Helvetica"/>
                                <w:sz w:val="20"/>
                                <w:szCs w:val="20"/>
                              </w:rPr>
                              <w:t>Municipal or local government laws that dictate how real property can and cannot be used in certain areas. Zoning laws gave localities immense power in determining who could live where, thus the ability to discriminate.</w:t>
                            </w:r>
                            <w:r>
                              <w:rPr>
                                <w:rFonts w:ascii="Helvetica" w:hAnsi="Helvetica" w:cs="Helvetica"/>
                                <w:sz w:val="20"/>
                                <w:szCs w:val="20"/>
                              </w:rPr>
                              <w:t>”</w:t>
                            </w:r>
                            <w:r w:rsidRPr="00B66CF7">
                              <w:rPr>
                                <w:rFonts w:ascii="Helvetica" w:hAnsi="Helvetica" w:cs="Helvetica"/>
                                <w:sz w:val="20"/>
                                <w:szCs w:val="20"/>
                                <w:shd w:val="clear" w:color="auto" w:fill="FFFFFF"/>
                              </w:rPr>
                              <w:t xml:space="preserve"> </w:t>
                            </w:r>
                          </w:p>
                          <w:p w14:paraId="3E487A8D" w14:textId="77777777" w:rsidR="0001147E" w:rsidRDefault="0001147E" w:rsidP="0001147E">
                            <w:pPr>
                              <w:rPr>
                                <w:color w:val="FFFFFF" w:themeColor="background1"/>
                                <w:sz w:val="18"/>
                                <w:szCs w:val="18"/>
                              </w:rPr>
                            </w:pPr>
                          </w:p>
                          <w:p w14:paraId="7D92415F" w14:textId="77777777" w:rsidR="0001147E" w:rsidRDefault="0001147E" w:rsidP="0001147E">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F0EAE5" id="Rectangle 397" o:spid="_x0000_s1026" style="position:absolute;left:0;text-align:left;margin-left:303.7pt;margin-top:2479.8pt;width:230.2pt;height:574.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" o:allowincell="f" fillcolor="#fbe4d5 [661]" stroked="f">
                <v:shadow color="black" opacity="26213f" origin="-.5,-.5" offset=".74833mm,.74833mm"/>
                <v:textbox inset="21.6pt,21.6pt,21.6pt,21.6pt">
                  <w:txbxContent>
                    <w:p w14:paraId="0421F4CD" w14:textId="77777777" w:rsidR="0001147E" w:rsidRPr="000F5CB5" w:rsidRDefault="0001147E" w:rsidP="0001147E">
                      <w:pPr>
                        <w:rPr>
                          <w:rFonts w:ascii="Helvetica" w:hAnsi="Helvetica" w:cs="Helvetica"/>
                          <w:b/>
                          <w:sz w:val="20"/>
                          <w:szCs w:val="20"/>
                        </w:rPr>
                      </w:pPr>
                      <w:r>
                        <w:rPr>
                          <w:rFonts w:ascii="Helvetica" w:hAnsi="Helvetica" w:cs="Helvetica"/>
                          <w:b/>
                          <w:sz w:val="20"/>
                          <w:szCs w:val="20"/>
                        </w:rPr>
                        <w:t>Three Tools Used to Perpetuate Racial Discrimination in Housing</w:t>
                      </w:r>
                    </w:p>
                    <w:p w14:paraId="25B90ED4" w14:textId="77777777" w:rsidR="0001147E" w:rsidRPr="00B66CF7" w:rsidRDefault="0001147E" w:rsidP="0001147E">
                      <w:pPr>
                        <w:rPr>
                          <w:rFonts w:ascii="Helvetica" w:hAnsi="Helvetica" w:cs="Helvetica"/>
                          <w:sz w:val="20"/>
                          <w:szCs w:val="20"/>
                        </w:rPr>
                      </w:pPr>
                    </w:p>
                    <w:p w14:paraId="477A90E4"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Redlining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w:t>
                      </w:r>
                      <w:r w:rsidRPr="00B66CF7">
                        <w:rPr>
                          <w:rFonts w:ascii="Helvetica" w:hAnsi="Helvetica" w:cs="Helvetica"/>
                          <w:sz w:val="20"/>
                          <w:szCs w:val="20"/>
                        </w:rPr>
                        <w:t>The practice of arbitrarily denying or limiting financial services to specific neighborhoods, generally because its residents are people of color or are poor. While discriminatory practices existed in the banking and insurance industries well before the 1930s, the </w:t>
                      </w:r>
                      <w:hyperlink r:id="rId23" w:tgtFrame="_blank" w:history="1">
                        <w:r w:rsidRPr="00B66CF7">
                          <w:rPr>
                            <w:rFonts w:ascii="Helvetica" w:hAnsi="Helvetica" w:cs="Helvetica"/>
                            <w:sz w:val="20"/>
                            <w:szCs w:val="20"/>
                          </w:rPr>
                          <w:t>New Deal's</w:t>
                        </w:r>
                      </w:hyperlink>
                      <w:r w:rsidRPr="00B66CF7">
                        <w:rPr>
                          <w:rFonts w:ascii="Helvetica" w:hAnsi="Helvetica" w:cs="Helvetica"/>
                          <w:sz w:val="20"/>
                          <w:szCs w:val="20"/>
                        </w:rPr>
                        <w:t> Home Owners' Loan Corporation (HOLC) instituted a redlining policy by developing color-coded maps of American cities that used racial criteria to categorize lending and insurance risks. New, affluent, racially homogeneous housing areas received green lines while black and poor white neighborhoods were often circumscribed by red lines denoting their undesirability.</w:t>
                      </w:r>
                      <w:r>
                        <w:rPr>
                          <w:rFonts w:ascii="Helvetica" w:hAnsi="Helvetica" w:cs="Helvetica"/>
                          <w:sz w:val="20"/>
                          <w:szCs w:val="20"/>
                        </w:rPr>
                        <w:t>”</w:t>
                      </w:r>
                    </w:p>
                    <w:p w14:paraId="4415454F"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Blockbusting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“T</w:t>
                      </w:r>
                      <w:r w:rsidRPr="00B66CF7">
                        <w:rPr>
                          <w:rFonts w:ascii="Helvetica" w:hAnsi="Helvetica" w:cs="Helvetica"/>
                          <w:sz w:val="20"/>
                          <w:szCs w:val="20"/>
                        </w:rPr>
                        <w:t>he efforts of </w:t>
                      </w:r>
                      <w:hyperlink r:id="rId24" w:tgtFrame="_blank" w:history="1">
                        <w:r w:rsidRPr="00B66CF7">
                          <w:rPr>
                            <w:rFonts w:ascii="Helvetica" w:hAnsi="Helvetica" w:cs="Helvetica"/>
                            <w:sz w:val="20"/>
                            <w:szCs w:val="20"/>
                          </w:rPr>
                          <w:t>real-estate</w:t>
                        </w:r>
                      </w:hyperlink>
                      <w:r w:rsidRPr="00B66CF7">
                        <w:rPr>
                          <w:rFonts w:ascii="Helvetica" w:hAnsi="Helvetica" w:cs="Helvetica"/>
                          <w:sz w:val="20"/>
                          <w:szCs w:val="20"/>
                        </w:rPr>
                        <w:t> agents and real-estate speculators to trigger the turnover of white-owned property and homes to </w:t>
                      </w:r>
                      <w:hyperlink r:id="rId25" w:tgtFrame="_blank" w:history="1">
                        <w:r w:rsidRPr="00B66CF7">
                          <w:rPr>
                            <w:rFonts w:ascii="Helvetica" w:hAnsi="Helvetica" w:cs="Helvetica"/>
                            <w:sz w:val="20"/>
                            <w:szCs w:val="20"/>
                          </w:rPr>
                          <w:t>African Americans</w:t>
                        </w:r>
                      </w:hyperlink>
                      <w:r w:rsidRPr="00B66CF7">
                        <w:rPr>
                          <w:rFonts w:ascii="Helvetica" w:hAnsi="Helvetica" w:cs="Helvetica"/>
                          <w:sz w:val="20"/>
                          <w:szCs w:val="20"/>
                        </w:rPr>
                        <w:t>. Often characterized as “panic peddling,” such practices frequently accompanied the expansion of black areas of residence and the entry of African Americans into neighborhoods previously denied to them. In evidence as early as 1900, blockbusting techniques included the repeated—often incessant—urging of white homeowners in areas adjacent to or near black communities to sell before it became “too late” and their property values diminished.</w:t>
                      </w:r>
                      <w:r>
                        <w:rPr>
                          <w:rFonts w:ascii="Helvetica" w:hAnsi="Helvetica" w:cs="Helvetica"/>
                          <w:sz w:val="20"/>
                          <w:szCs w:val="20"/>
                        </w:rPr>
                        <w:t>”</w:t>
                      </w:r>
                    </w:p>
                    <w:p w14:paraId="7F10B04D" w14:textId="77777777" w:rsidR="0001147E" w:rsidRPr="00B66CF7" w:rsidRDefault="0001147E" w:rsidP="0001147E">
                      <w:pPr>
                        <w:rPr>
                          <w:rFonts w:ascii="Helvetica" w:hAnsi="Helvetica" w:cs="Helvetica"/>
                          <w:sz w:val="20"/>
                          <w:szCs w:val="20"/>
                          <w:shd w:val="clear" w:color="auto" w:fill="FFFFFF"/>
                        </w:rPr>
                      </w:pPr>
                      <w:r w:rsidRPr="00C67826">
                        <w:rPr>
                          <w:rFonts w:ascii="Helvetica" w:hAnsi="Helvetica" w:cs="Helvetica"/>
                          <w:b/>
                          <w:color w:val="AF1F2C"/>
                          <w:sz w:val="20"/>
                          <w:szCs w:val="20"/>
                        </w:rPr>
                        <w:t>Zoning Laws</w:t>
                      </w:r>
                      <w:r w:rsidRPr="00C67826">
                        <w:rPr>
                          <w:rFonts w:ascii="Helvetica" w:hAnsi="Helvetica" w:cs="Helvetica"/>
                          <w:b/>
                          <w:sz w:val="20"/>
                          <w:szCs w:val="20"/>
                        </w:rPr>
                        <w:t>:</w:t>
                      </w:r>
                      <w:r>
                        <w:rPr>
                          <w:rFonts w:ascii="Helvetica" w:hAnsi="Helvetica" w:cs="Helvetica"/>
                          <w:color w:val="AF1F2C"/>
                          <w:sz w:val="20"/>
                          <w:szCs w:val="20"/>
                        </w:rPr>
                        <w:t xml:space="preserve"> </w:t>
                      </w:r>
                      <w:r w:rsidRPr="0050242F">
                        <w:rPr>
                          <w:rFonts w:ascii="Helvetica" w:hAnsi="Helvetica" w:cs="Helvetica"/>
                          <w:sz w:val="20"/>
                          <w:szCs w:val="20"/>
                        </w:rPr>
                        <w:t>“</w:t>
                      </w:r>
                      <w:r w:rsidRPr="00B66CF7">
                        <w:rPr>
                          <w:rFonts w:ascii="Helvetica" w:hAnsi="Helvetica" w:cs="Helvetica"/>
                          <w:sz w:val="20"/>
                          <w:szCs w:val="20"/>
                        </w:rPr>
                        <w:t>Municipal or local government laws that dictate how real property can and cannot be used in certain areas. Zoning laws gave localities immense power in determining who could live where, thus the ability to discriminate.</w:t>
                      </w:r>
                      <w:r>
                        <w:rPr>
                          <w:rFonts w:ascii="Helvetica" w:hAnsi="Helvetica" w:cs="Helvetica"/>
                          <w:sz w:val="20"/>
                          <w:szCs w:val="20"/>
                        </w:rPr>
                        <w:t>”</w:t>
                      </w:r>
                      <w:r w:rsidRPr="00B66CF7">
                        <w:rPr>
                          <w:rFonts w:ascii="Helvetica" w:hAnsi="Helvetica" w:cs="Helvetica"/>
                          <w:sz w:val="20"/>
                          <w:szCs w:val="20"/>
                          <w:shd w:val="clear" w:color="auto" w:fill="FFFFFF"/>
                        </w:rPr>
                        <w:t xml:space="preserve"> </w:t>
                      </w:r>
                    </w:p>
                    <w:p w14:paraId="3E487A8D" w14:textId="77777777" w:rsidR="0001147E" w:rsidRDefault="0001147E" w:rsidP="0001147E">
                      <w:pPr>
                        <w:rPr>
                          <w:color w:val="FFFFFF" w:themeColor="background1"/>
                          <w:sz w:val="18"/>
                          <w:szCs w:val="18"/>
                        </w:rPr>
                      </w:pPr>
                    </w:p>
                    <w:p w14:paraId="7D92415F" w14:textId="77777777" w:rsidR="0001147E" w:rsidRDefault="0001147E" w:rsidP="0001147E">
                      <w:pPr>
                        <w:rPr>
                          <w:color w:val="FFFFFF" w:themeColor="background1"/>
                          <w:sz w:val="18"/>
                          <w:szCs w:val="18"/>
                        </w:rPr>
                      </w:pPr>
                    </w:p>
                  </w:txbxContent>
                </v:textbox>
                <w10:wrap type="square" anchorx="page" anchory="margin"/>
              </v:rect>
            </w:pict>
          </mc:Fallback>
        </mc:AlternateContent>
      </w:r>
      <w:r w:rsidRPr="00EB6812">
        <w:rPr>
          <w:rFonts w:ascii="Helvetica" w:hAnsi="Helvetica" w:cs="Helvetica"/>
          <w:b/>
          <w:noProof/>
        </w:rPr>
        <w:t>The EITC increases promotes work, especially among single mothers.</w:t>
      </w:r>
      <w:r w:rsidRPr="00EB6812">
        <w:rPr>
          <w:rFonts w:ascii="Helvetica" w:hAnsi="Helvetica" w:cs="Helvetica"/>
          <w:noProof/>
        </w:rPr>
        <w:t xml:space="preserve"> The EITC expansions of the 1990s helped more than a half a million families move from cash welfare assistance to work.</w:t>
      </w:r>
      <w:r w:rsidRPr="00EB6812">
        <w:rPr>
          <w:rStyle w:val="FootnoteReference"/>
          <w:rFonts w:ascii="Helvetica" w:hAnsi="Helvetica" w:cs="Helvetica"/>
          <w:noProof/>
        </w:rPr>
        <w:footnoteReference w:id="13"/>
      </w:r>
    </w:p>
    <w:p w14:paraId="5FCC677B" w14:textId="77777777" w:rsidR="003057C2" w:rsidRPr="00EB6812" w:rsidRDefault="5BED69C2" w:rsidP="003057C2">
      <w:pPr>
        <w:pStyle w:val="paragraph"/>
        <w:spacing w:after="120" w:line="276" w:lineRule="auto"/>
        <w:rPr>
          <w:rStyle w:val="eop"/>
          <w:rFonts w:ascii="Helvetica" w:eastAsia="Helvetica" w:hAnsi="Helvetica" w:cs="Helvetica"/>
          <w:b/>
          <w:bCs/>
          <w:color w:val="C00000"/>
          <w:sz w:val="36"/>
          <w:szCs w:val="36"/>
        </w:rPr>
      </w:pPr>
      <w:r w:rsidRPr="5BED69C2">
        <w:rPr>
          <w:rStyle w:val="eop"/>
          <w:rFonts w:ascii="Helvetica" w:eastAsia="Helvetica" w:hAnsi="Helvetica" w:cs="Helvetica"/>
          <w:b/>
          <w:bCs/>
          <w:color w:val="C00000"/>
          <w:sz w:val="36"/>
          <w:szCs w:val="36"/>
        </w:rPr>
        <w:t>The Child Tax Credit (CTC)</w:t>
      </w:r>
    </w:p>
    <w:p w14:paraId="1C25C783" w14:textId="52890513" w:rsidR="0001147E" w:rsidRPr="00195E5C" w:rsidRDefault="00BF527A" w:rsidP="00B5776C">
      <w:pPr>
        <w:pStyle w:val="paragraph"/>
        <w:spacing w:after="120" w:line="276" w:lineRule="auto"/>
        <w:jc w:val="center"/>
      </w:pPr>
      <w:bookmarkStart w:id="2" w:name="_GoBack"/>
      <w:bookmarkEnd w:id="2"/>
      <w:r>
        <w:rPr>
          <w:noProof/>
        </w:rPr>
        <w:lastRenderedPageBreak/>
        <w:drawing>
          <wp:inline distT="0" distB="0" distL="0" distR="0" wp14:anchorId="68721EBA" wp14:editId="6F509339">
            <wp:extent cx="5353050" cy="3305175"/>
            <wp:effectExtent l="0" t="0" r="0" b="9525"/>
            <wp:docPr id="718330429" name="Picture 71833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353050" cy="3305175"/>
                    </a:xfrm>
                    <a:prstGeom prst="rect">
                      <a:avLst/>
                    </a:prstGeom>
                  </pic:spPr>
                </pic:pic>
              </a:graphicData>
            </a:graphic>
          </wp:inline>
        </w:drawing>
      </w:r>
    </w:p>
    <w:p w14:paraId="7C86AAF3" w14:textId="07E8FDD0" w:rsidR="0001147E" w:rsidRPr="00195E5C" w:rsidRDefault="0001147E" w:rsidP="006C374B">
      <w:pPr>
        <w:pStyle w:val="paragraph"/>
        <w:spacing w:after="120" w:line="276" w:lineRule="auto"/>
        <w:rPr>
          <w:rFonts w:ascii="Helvetica" w:eastAsia="Helvetica" w:hAnsi="Helvetica" w:cs="Helvetica"/>
          <w:b/>
          <w:bCs/>
          <w:color w:val="C00000"/>
          <w:sz w:val="22"/>
          <w:szCs w:val="22"/>
        </w:rPr>
      </w:pPr>
      <w:r w:rsidRPr="00195E5C">
        <w:rPr>
          <w:rFonts w:ascii="Helvetica" w:hAnsi="Helvetica" w:cs="Helvetica"/>
          <w:sz w:val="22"/>
          <w:szCs w:val="22"/>
        </w:rPr>
        <w:t xml:space="preserve">The Child Tax Credit (CTC) is a partially refundable federal tax credit designed to help families offset some of the costs of raising children. When combined with the EITC, the CTC is an effective anti-poverty tool. The Center on Budget and Policy Priorities estimates that in 2017, CTC </w:t>
      </w:r>
      <w:r w:rsidR="5BED69C2" w:rsidRPr="5BED69C2">
        <w:rPr>
          <w:rFonts w:ascii="Helvetica" w:eastAsia="Helvetica" w:hAnsi="Helvetica" w:cs="Helvetica"/>
          <w:sz w:val="22"/>
          <w:szCs w:val="22"/>
        </w:rPr>
        <w:t>lifted approximately 2.8 million people out of poverty in 2017, including about 1.6 million children, and lessened poverty for another 13.1 million people, including 6.7 million children</w:t>
      </w:r>
      <w:r w:rsidR="5BED69C2" w:rsidRPr="5BED69C2">
        <w:rPr>
          <w:rFonts w:ascii="Helvetica" w:hAnsi="Helvetica" w:cs="Helvetica"/>
          <w:sz w:val="22"/>
          <w:szCs w:val="22"/>
        </w:rPr>
        <w:t>.”</w:t>
      </w:r>
      <w:r w:rsidRPr="2B48DD89">
        <w:rPr>
          <w:rStyle w:val="FootnoteReference"/>
          <w:rFonts w:ascii="Helvetica" w:hAnsi="Helvetica" w:cs="Helvetica"/>
          <w:sz w:val="22"/>
          <w:szCs w:val="22"/>
        </w:rPr>
        <w:footnoteReference w:id="14"/>
      </w:r>
      <w:r w:rsidR="006C374B">
        <w:rPr>
          <w:rFonts w:ascii="Helvetica" w:hAnsi="Helvetica" w:cs="Helvetica"/>
          <w:sz w:val="22"/>
          <w:szCs w:val="22"/>
        </w:rPr>
        <w:t xml:space="preserve"> </w:t>
      </w:r>
      <w:r w:rsidR="00FE4276" w:rsidRPr="00FE4276">
        <w:rPr>
          <w:rFonts w:ascii="Helvetica" w:hAnsi="Helvetica" w:cs="Helvetica"/>
          <w:sz w:val="22"/>
          <w:szCs w:val="22"/>
        </w:rPr>
        <w:t>On Feb. 28, 2019, the non-partisan National Academy of Sciences released a consensus plan to cut child poverty in half. The two policy proposals that had the biggest impact on poverty reduction were both versions of an expanded Child Tax Credit.</w:t>
      </w:r>
      <w:r w:rsidR="00FE4276">
        <w:rPr>
          <w:rStyle w:val="FootnoteReference"/>
          <w:rFonts w:ascii="Helvetica" w:hAnsi="Helvetica" w:cs="Helvetica"/>
          <w:sz w:val="22"/>
          <w:szCs w:val="22"/>
        </w:rPr>
        <w:footnoteReference w:id="15"/>
      </w:r>
      <w:r w:rsidR="5BED69C2" w:rsidRPr="5BED69C2">
        <w:rPr>
          <w:rFonts w:ascii="Helvetica" w:hAnsi="Helvetica" w:cs="Helvetica"/>
          <w:sz w:val="22"/>
          <w:szCs w:val="22"/>
          <w:vertAlign w:val="superscript"/>
        </w:rPr>
        <w:t xml:space="preserve"> </w:t>
      </w:r>
      <w:r w:rsidR="5BED69C2" w:rsidRPr="5BED69C2">
        <w:rPr>
          <w:rFonts w:ascii="Helvetica" w:hAnsi="Helvetica" w:cs="Helvetica"/>
          <w:sz w:val="22"/>
          <w:szCs w:val="22"/>
        </w:rPr>
        <w:t xml:space="preserve">With the expenses of raising a child continually increasing, the CTC is a critical measure in ensuring that children receive the necessary resources and   home stability that they deserve. </w:t>
      </w:r>
    </w:p>
    <w:p w14:paraId="285B4E1A" w14:textId="77777777" w:rsidR="0099703F" w:rsidRPr="00195E5C" w:rsidRDefault="0099703F" w:rsidP="006C374B">
      <w:pPr>
        <w:spacing w:after="120" w:line="276" w:lineRule="auto"/>
        <w:jc w:val="both"/>
        <w:rPr>
          <w:rFonts w:ascii="Helvetica" w:hAnsi="Helvetica" w:cs="Helvetica"/>
        </w:rPr>
      </w:pPr>
      <w:r w:rsidRPr="00195E5C">
        <w:rPr>
          <w:rFonts w:ascii="Helvetica" w:hAnsi="Helvetica" w:cs="Helvetica"/>
        </w:rPr>
        <w:t xml:space="preserve">The CTC includes a refundable component, the Additional Child Tax Credit, for low-income families.  This means that if the value of the CTC exceeds the amount of federal income tax a family owes, the family may receive part or </w:t>
      </w:r>
      <w:proofErr w:type="gramStart"/>
      <w:r w:rsidRPr="00195E5C">
        <w:rPr>
          <w:rFonts w:ascii="Helvetica" w:hAnsi="Helvetica" w:cs="Helvetica"/>
        </w:rPr>
        <w:t>all of</w:t>
      </w:r>
      <w:proofErr w:type="gramEnd"/>
      <w:r w:rsidRPr="00195E5C">
        <w:rPr>
          <w:rFonts w:ascii="Helvetica" w:hAnsi="Helvetica" w:cs="Helvetica"/>
        </w:rPr>
        <w:t xml:space="preserve"> the difference in the form of a refund check.  As a result, many working families can benefit from the CTC even if their incomes are so low that they owe little or no federal income tax in a given year.</w:t>
      </w:r>
      <w:r w:rsidRPr="00195E5C">
        <w:rPr>
          <w:rStyle w:val="FootnoteReference"/>
          <w:rFonts w:ascii="Helvetica" w:hAnsi="Helvetica" w:cs="Helvetica"/>
        </w:rPr>
        <w:footnoteReference w:id="16"/>
      </w:r>
      <w:r w:rsidRPr="00195E5C">
        <w:rPr>
          <w:rFonts w:ascii="Helvetica" w:hAnsi="Helvetica" w:cs="Helvetica"/>
        </w:rPr>
        <w:t xml:space="preserve"> This refundable feature is important for low-income working families, who otherwise wouldn’t receive the tax benefits available to higher-income families to help offset the cost of raising children.</w:t>
      </w:r>
      <w:r w:rsidRPr="00195E5C">
        <w:rPr>
          <w:rStyle w:val="FootnoteReference"/>
          <w:rFonts w:ascii="Helvetica" w:hAnsi="Helvetica" w:cs="Helvetica"/>
        </w:rPr>
        <w:footnoteReference w:id="17"/>
      </w:r>
    </w:p>
    <w:p w14:paraId="0B47053E" w14:textId="77777777" w:rsidR="00646D63" w:rsidRPr="00195E5C" w:rsidRDefault="0001147E" w:rsidP="00646D63">
      <w:pPr>
        <w:pStyle w:val="paragraph"/>
        <w:spacing w:after="120" w:line="276" w:lineRule="auto"/>
        <w:rPr>
          <w:rFonts w:ascii="Helvetica" w:hAnsi="Helvetica" w:cs="Helvetica"/>
          <w:sz w:val="22"/>
          <w:szCs w:val="22"/>
          <w:vertAlign w:val="superscript"/>
        </w:rPr>
      </w:pPr>
      <w:r w:rsidRPr="00195E5C">
        <w:rPr>
          <w:rFonts w:ascii="Helvetica" w:hAnsi="Helvetica" w:cs="Helvetica"/>
          <w:sz w:val="22"/>
          <w:szCs w:val="22"/>
        </w:rPr>
        <w:t xml:space="preserve">First enacted in 1997, the CTC has a similar structure and function to EITC. As with the EITC, only working families are eligible to receive the credit, and the CTC “phases in” as income </w:t>
      </w:r>
      <w:r w:rsidRPr="00195E5C">
        <w:rPr>
          <w:rFonts w:ascii="Helvetica" w:hAnsi="Helvetica" w:cs="Helvetica"/>
          <w:sz w:val="22"/>
          <w:szCs w:val="22"/>
        </w:rPr>
        <w:lastRenderedPageBreak/>
        <w:t>increases. Unlike the EITC, however, the CTC requires families to earn a minimum income of $3,000 to qualify for the credit and is only partially refundable. That means that if a family’s CTC exceeds its federal tax liability, the family may receive only a portion of the credit rather than the total difference as a refund.</w:t>
      </w:r>
      <w:r w:rsidRPr="00195E5C">
        <w:rPr>
          <w:rStyle w:val="FootnoteReference"/>
          <w:rFonts w:ascii="Helvetica" w:hAnsi="Helvetica" w:cs="Helvetica"/>
          <w:sz w:val="22"/>
          <w:szCs w:val="22"/>
        </w:rPr>
        <w:footnoteReference w:id="18"/>
      </w:r>
      <w:r w:rsidRPr="00195E5C">
        <w:rPr>
          <w:rFonts w:ascii="Helvetica" w:hAnsi="Helvetica" w:cs="Helvetica"/>
          <w:sz w:val="22"/>
          <w:szCs w:val="22"/>
          <w:vertAlign w:val="superscript"/>
        </w:rPr>
        <w:t xml:space="preserve"> </w:t>
      </w:r>
    </w:p>
    <w:p w14:paraId="2A4E2879" w14:textId="3C35F89F" w:rsidR="00646D63" w:rsidRPr="00195E5C" w:rsidRDefault="00646D63" w:rsidP="00646D63">
      <w:pPr>
        <w:pStyle w:val="paragraph"/>
        <w:spacing w:after="120" w:line="276" w:lineRule="auto"/>
        <w:rPr>
          <w:rStyle w:val="eop"/>
          <w:rFonts w:ascii="Helvetica" w:eastAsia="Helvetica" w:hAnsi="Helvetica" w:cs="Helvetica"/>
          <w:sz w:val="22"/>
          <w:szCs w:val="22"/>
        </w:rPr>
      </w:pPr>
      <w:r w:rsidRPr="00195E5C">
        <w:rPr>
          <w:rStyle w:val="eop"/>
          <w:rFonts w:ascii="Helvetica" w:eastAsia="Helvetica" w:hAnsi="Helvetica" w:cs="Helvetica"/>
          <w:sz w:val="22"/>
          <w:szCs w:val="22"/>
        </w:rPr>
        <w:t>In 2017 the Child Tax Credit was increased but the benefits largely go to high-income households. The credit was doubled to $2,000 per child, but only wealthier families will be able to receive the full benefit. Low-income families can at most get $1,400 per child back as a refund compared to a family earning $400,000, who will get to deduct the full $2,000 credit per child off their taxes.</w:t>
      </w:r>
      <w:r w:rsidRPr="00195E5C">
        <w:rPr>
          <w:rStyle w:val="FootnoteReference"/>
          <w:rFonts w:ascii="Helvetica" w:eastAsia="Helvetica" w:hAnsi="Helvetica" w:cs="Helvetica"/>
          <w:sz w:val="22"/>
          <w:szCs w:val="22"/>
        </w:rPr>
        <w:footnoteReference w:id="19"/>
      </w:r>
      <w:r w:rsidRPr="00195E5C">
        <w:rPr>
          <w:rStyle w:val="eop"/>
          <w:rFonts w:ascii="Helvetica" w:eastAsia="Helvetica" w:hAnsi="Helvetica" w:cs="Helvetica"/>
          <w:sz w:val="22"/>
          <w:szCs w:val="22"/>
        </w:rPr>
        <w:t xml:space="preserve"> </w:t>
      </w:r>
    </w:p>
    <w:p w14:paraId="3FFA5E3D" w14:textId="6FCD966E" w:rsidR="0001147E" w:rsidRPr="00195E5C" w:rsidRDefault="00BF527A" w:rsidP="003057C2">
      <w:pPr>
        <w:spacing w:after="120" w:line="276" w:lineRule="auto"/>
        <w:jc w:val="both"/>
        <w:rPr>
          <w:rStyle w:val="eop"/>
          <w:rFonts w:ascii="Helvetica" w:hAnsi="Helvetica" w:cs="Helvetica"/>
          <w:color w:val="ED7D31" w:themeColor="accent2"/>
          <w:u w:val="single"/>
        </w:rPr>
      </w:pPr>
      <w:r w:rsidRPr="00195E5C">
        <w:rPr>
          <w:rFonts w:ascii="Helvetica" w:hAnsi="Helvetica" w:cs="Helvetica"/>
        </w:rPr>
        <w:t>For many low</w:t>
      </w:r>
      <w:r w:rsidR="00735E98">
        <w:rPr>
          <w:rFonts w:ascii="Helvetica" w:hAnsi="Helvetica" w:cs="Helvetica"/>
        </w:rPr>
        <w:t>-</w:t>
      </w:r>
      <w:r w:rsidRPr="00195E5C">
        <w:rPr>
          <w:rFonts w:ascii="Helvetica" w:hAnsi="Helvetica" w:cs="Helvetica"/>
        </w:rPr>
        <w:t>income workers, refundable tax credits offer an opportunity to boost emergency savings, purchase necessary items for their household or children, make large purchases (such as a car), or pay down outstanding debts.</w:t>
      </w:r>
      <w:r w:rsidRPr="00195E5C">
        <w:rPr>
          <w:rStyle w:val="FootnoteReference"/>
          <w:rFonts w:ascii="Helvetica" w:hAnsi="Helvetica" w:cs="Helvetica"/>
        </w:rPr>
        <w:footnoteReference w:id="20"/>
      </w:r>
      <w:r w:rsidRPr="00195E5C">
        <w:rPr>
          <w:rFonts w:ascii="Helvetica" w:hAnsi="Helvetica" w:cs="Helvetica"/>
        </w:rPr>
        <w:t xml:space="preserve"> </w:t>
      </w:r>
      <w:r w:rsidRPr="00195E5C">
        <w:rPr>
          <w:rStyle w:val="eop"/>
          <w:rFonts w:ascii="Helvetica" w:eastAsia="Helvetica" w:hAnsi="Helvetica" w:cs="Helvetica"/>
        </w:rPr>
        <w:t>The Earned Income Tax Credit (EITC) and low-income portion of the Child Tax Credit (CTC) are particularly beneficial policies for communities of color because these communities experience higher rates of poverty.</w:t>
      </w:r>
    </w:p>
    <w:p w14:paraId="7C92C2E6" w14:textId="5E7C4AEC" w:rsidR="003A55BF" w:rsidRPr="00EB6812" w:rsidRDefault="003A55BF" w:rsidP="003A55BF">
      <w:pPr>
        <w:pStyle w:val="paragraph"/>
        <w:spacing w:after="120" w:line="276" w:lineRule="auto"/>
        <w:rPr>
          <w:rStyle w:val="eop"/>
          <w:rFonts w:ascii="Helvetica" w:eastAsia="Helvetica" w:hAnsi="Helvetica" w:cs="Helvetica"/>
          <w:b/>
          <w:bCs/>
          <w:color w:val="C00000"/>
          <w:sz w:val="36"/>
          <w:szCs w:val="36"/>
        </w:rPr>
      </w:pPr>
      <w:r w:rsidRPr="00EB6812">
        <w:rPr>
          <w:rStyle w:val="eop"/>
          <w:rFonts w:ascii="Helvetica" w:eastAsia="Helvetica" w:hAnsi="Helvetica" w:cs="Helvetica"/>
          <w:b/>
          <w:bCs/>
          <w:color w:val="C00000"/>
          <w:sz w:val="36"/>
          <w:szCs w:val="36"/>
        </w:rPr>
        <w:t xml:space="preserve">Expanding the EITC and CTC: </w:t>
      </w:r>
      <w:r w:rsidR="00195E5C" w:rsidRPr="00EB6812">
        <w:rPr>
          <w:rStyle w:val="eop"/>
          <w:rFonts w:ascii="Helvetica" w:eastAsia="Helvetica" w:hAnsi="Helvetica" w:cs="Helvetica"/>
          <w:b/>
          <w:bCs/>
          <w:color w:val="C00000"/>
          <w:sz w:val="36"/>
          <w:szCs w:val="36"/>
        </w:rPr>
        <w:t>The</w:t>
      </w:r>
      <w:r w:rsidRPr="00EB6812">
        <w:rPr>
          <w:rStyle w:val="eop"/>
          <w:rFonts w:ascii="Helvetica" w:eastAsia="Helvetica" w:hAnsi="Helvetica" w:cs="Helvetica"/>
          <w:b/>
          <w:bCs/>
          <w:color w:val="C00000"/>
          <w:sz w:val="36"/>
          <w:szCs w:val="36"/>
        </w:rPr>
        <w:t xml:space="preserve"> Working Families Tax Relief Act </w:t>
      </w:r>
    </w:p>
    <w:p w14:paraId="607DBD96" w14:textId="77777777" w:rsidR="006000A2" w:rsidRDefault="00AF6EAD" w:rsidP="006756D2">
      <w:pPr>
        <w:spacing w:after="120" w:line="276" w:lineRule="auto"/>
        <w:rPr>
          <w:rFonts w:ascii="Arial" w:eastAsia="Times New Roman" w:hAnsi="Arial" w:cs="Arial"/>
          <w:color w:val="000000"/>
        </w:rPr>
      </w:pPr>
      <w:r w:rsidRPr="00EB6812">
        <w:rPr>
          <w:rFonts w:ascii="Helvetica" w:eastAsia="Times New Roman" w:hAnsi="Helvetica" w:cs="Helvetica"/>
          <w:color w:val="000000"/>
        </w:rPr>
        <w:t>While tax policy often rewards wealth</w:t>
      </w:r>
      <w:r w:rsidR="00A70B4C" w:rsidRPr="00EB6812">
        <w:rPr>
          <w:rFonts w:ascii="Helvetica" w:eastAsia="Times New Roman" w:hAnsi="Helvetica" w:cs="Helvetica"/>
          <w:color w:val="000000"/>
        </w:rPr>
        <w:t xml:space="preserve"> and exacerbates racial wealth inequality, we can</w:t>
      </w:r>
      <w:r w:rsidR="00632971" w:rsidRPr="00632971">
        <w:rPr>
          <w:rFonts w:ascii="Helvetica" w:eastAsia="Times New Roman" w:hAnsi="Helvetica" w:cs="Helvetica"/>
          <w:bCs/>
          <w:color w:val="000000"/>
        </w:rPr>
        <w:t xml:space="preserve"> fix our tax laws to give working people and children a fair shot to get ahead. </w:t>
      </w:r>
      <w:r w:rsidR="00E02248" w:rsidRPr="00AA374A">
        <w:rPr>
          <w:rFonts w:ascii="Arial" w:eastAsia="Times New Roman" w:hAnsi="Arial" w:cs="Arial"/>
          <w:color w:val="000000"/>
        </w:rPr>
        <w:t xml:space="preserve">Many of America’s low-income working families are struggling to stay afloat as costs have risen faster than their pay over several decades. Too many parents with low incomes struggle to provide for their kids’ basic needs. </w:t>
      </w:r>
      <w:r w:rsidR="006000A2" w:rsidRPr="006000A2">
        <w:rPr>
          <w:rFonts w:ascii="Arial" w:eastAsia="Times New Roman" w:hAnsi="Arial" w:cs="Arial"/>
          <w:color w:val="000000"/>
        </w:rPr>
        <w:t xml:space="preserve">Working-class households of all races — those with working-age people without a college degree — have enjoyed only small income gains in recent decades. Many of these working people have low-wage jobs that don’t pay enough to meet basic needs. The problem of low wages affects a broad swath of working people across the country, with the challenges being especially acute in communities of color, where many people face barriers like hiring discrimination.  </w:t>
      </w:r>
    </w:p>
    <w:p w14:paraId="70F63C6A" w14:textId="4F19EF5E" w:rsidR="00465A40" w:rsidRDefault="004E066F" w:rsidP="006756D2">
      <w:pPr>
        <w:spacing w:after="120" w:line="276" w:lineRule="auto"/>
        <w:rPr>
          <w:rFonts w:ascii="Arial" w:eastAsia="Times New Roman" w:hAnsi="Arial" w:cs="Arial"/>
          <w:color w:val="000000"/>
        </w:rPr>
      </w:pPr>
      <w:r>
        <w:rPr>
          <w:rFonts w:ascii="Arial" w:eastAsia="Times New Roman" w:hAnsi="Arial" w:cs="Arial"/>
          <w:color w:val="000000"/>
        </w:rPr>
        <w:t xml:space="preserve">Meanwhile, Americans have now filed their taxes for 2018 </w:t>
      </w:r>
      <w:r w:rsidR="00465A40" w:rsidRPr="00465A40">
        <w:rPr>
          <w:rFonts w:ascii="Arial" w:eastAsia="Times New Roman" w:hAnsi="Arial" w:cs="Arial"/>
          <w:color w:val="000000"/>
        </w:rPr>
        <w:t xml:space="preserve">– and this gives us a chance to see first-hand that the </w:t>
      </w:r>
      <w:r>
        <w:rPr>
          <w:rFonts w:ascii="Arial" w:eastAsia="Times New Roman" w:hAnsi="Arial" w:cs="Arial"/>
          <w:color w:val="000000"/>
        </w:rPr>
        <w:t>2017 tax law</w:t>
      </w:r>
      <w:r w:rsidR="00465A40" w:rsidRPr="00465A40">
        <w:rPr>
          <w:rFonts w:ascii="Arial" w:eastAsia="Times New Roman" w:hAnsi="Arial" w:cs="Arial"/>
          <w:color w:val="000000"/>
        </w:rPr>
        <w:t xml:space="preserve"> did not make things fairer. The tax code, which was already slanted towards the wealthy and big corporations, was made worse.  And some policymakers now want to make up the almost $2 trillion it adds to the federal deficit with cuts to health and nutrition programs, housing, education, and other anti-poverty programs.</w:t>
      </w:r>
    </w:p>
    <w:p w14:paraId="7A4AEFE0" w14:textId="188F3647" w:rsidR="00EF3878" w:rsidRPr="000C262C" w:rsidRDefault="005D4EA9" w:rsidP="006756D2">
      <w:pPr>
        <w:spacing w:after="120" w:line="276" w:lineRule="auto"/>
        <w:rPr>
          <w:rFonts w:ascii="Arial" w:eastAsia="Times New Roman" w:hAnsi="Arial" w:cs="Arial"/>
          <w:color w:val="000000"/>
        </w:rPr>
      </w:pPr>
      <w:r w:rsidRPr="00632971">
        <w:rPr>
          <w:rFonts w:ascii="Helvetica" w:eastAsia="Times New Roman" w:hAnsi="Helvetica" w:cs="Helvetica"/>
          <w:bCs/>
          <w:color w:val="000000"/>
        </w:rPr>
        <w:t xml:space="preserve">An exciting new proposal from Senators Sherrod Brown (OH), Michael Bennet (CO), Dick Durbin (IL), and Ron Wyden (OR) </w:t>
      </w:r>
      <w:r w:rsidR="00E02248" w:rsidRPr="00AA374A">
        <w:rPr>
          <w:rFonts w:ascii="Arial" w:eastAsia="Times New Roman" w:hAnsi="Arial" w:cs="Arial"/>
          <w:color w:val="000000"/>
        </w:rPr>
        <w:t xml:space="preserve">would begin to fix our tax laws to help working people with low-wage jobs keep their heads above water as they work to support themselves and their families. </w:t>
      </w:r>
      <w:r w:rsidR="00F50D1B" w:rsidRPr="00632971">
        <w:rPr>
          <w:rFonts w:ascii="Helvetica" w:eastAsia="Times New Roman" w:hAnsi="Helvetica" w:cs="Helvetica"/>
          <w:color w:val="000000"/>
        </w:rPr>
        <w:t xml:space="preserve">Their proposal, known as the </w:t>
      </w:r>
      <w:r w:rsidR="00F50D1B" w:rsidRPr="00632971">
        <w:rPr>
          <w:rFonts w:ascii="Helvetica" w:eastAsia="Times New Roman" w:hAnsi="Helvetica" w:cs="Helvetica"/>
          <w:i/>
          <w:color w:val="000000"/>
        </w:rPr>
        <w:t>Working Families Tax Relief Act</w:t>
      </w:r>
      <w:r w:rsidR="00F50D1B" w:rsidRPr="00EB6812">
        <w:rPr>
          <w:rFonts w:ascii="Helvetica" w:eastAsia="Times New Roman" w:hAnsi="Helvetica" w:cs="Helvetica"/>
          <w:i/>
          <w:color w:val="000000"/>
        </w:rPr>
        <w:t xml:space="preserve"> </w:t>
      </w:r>
      <w:r w:rsidR="00F50D1B" w:rsidRPr="00EB6812">
        <w:rPr>
          <w:rFonts w:ascii="Helvetica" w:hAnsi="Helvetica" w:cs="Helvetica"/>
          <w:color w:val="000000"/>
        </w:rPr>
        <w:t>(S.</w:t>
      </w:r>
      <w:r w:rsidR="008F7223">
        <w:rPr>
          <w:rFonts w:ascii="Helvetica" w:hAnsi="Helvetica" w:cs="Helvetica"/>
          <w:color w:val="000000"/>
        </w:rPr>
        <w:t xml:space="preserve"> </w:t>
      </w:r>
      <w:r w:rsidR="00F50D1B" w:rsidRPr="00EB6812">
        <w:rPr>
          <w:rFonts w:ascii="Helvetica" w:hAnsi="Helvetica" w:cs="Helvetica"/>
          <w:color w:val="000000"/>
        </w:rPr>
        <w:t>1138)</w:t>
      </w:r>
      <w:r w:rsidR="00F50D1B" w:rsidRPr="00632971">
        <w:rPr>
          <w:rFonts w:ascii="Helvetica" w:eastAsia="Times New Roman" w:hAnsi="Helvetica" w:cs="Helvetica"/>
          <w:color w:val="000000"/>
        </w:rPr>
        <w:t xml:space="preserve">, </w:t>
      </w:r>
      <w:r w:rsidR="000C262C" w:rsidRPr="00632971">
        <w:rPr>
          <w:rFonts w:ascii="Helvetica" w:eastAsia="Times New Roman" w:hAnsi="Helvetica" w:cs="Helvetica"/>
          <w:color w:val="000000"/>
        </w:rPr>
        <w:t xml:space="preserve">would </w:t>
      </w:r>
      <w:r w:rsidR="000C262C" w:rsidRPr="00632971">
        <w:rPr>
          <w:rFonts w:ascii="Helvetica" w:eastAsia="Times New Roman" w:hAnsi="Helvetica" w:cs="Helvetica"/>
          <w:color w:val="000000"/>
        </w:rPr>
        <w:lastRenderedPageBreak/>
        <w:t xml:space="preserve">improve </w:t>
      </w:r>
      <w:r w:rsidR="000C262C" w:rsidRPr="00EB6812">
        <w:rPr>
          <w:rFonts w:ascii="Helvetica" w:eastAsia="Times New Roman" w:hAnsi="Helvetica" w:cs="Helvetica"/>
          <w:color w:val="000000"/>
        </w:rPr>
        <w:t xml:space="preserve">the </w:t>
      </w:r>
      <w:r w:rsidR="000C262C" w:rsidRPr="00632971">
        <w:rPr>
          <w:rFonts w:ascii="Helvetica" w:eastAsia="Times New Roman" w:hAnsi="Helvetica" w:cs="Helvetica"/>
          <w:color w:val="000000"/>
        </w:rPr>
        <w:t>EITC and CTC</w:t>
      </w:r>
      <w:r w:rsidR="000C262C" w:rsidRPr="00EB6812">
        <w:rPr>
          <w:rFonts w:ascii="Helvetica" w:eastAsia="Times New Roman" w:hAnsi="Helvetica" w:cs="Helvetica"/>
          <w:color w:val="000000"/>
        </w:rPr>
        <w:t xml:space="preserve"> to</w:t>
      </w:r>
      <w:r w:rsidR="000C262C" w:rsidRPr="00632971">
        <w:rPr>
          <w:rFonts w:ascii="Helvetica" w:eastAsia="Times New Roman" w:hAnsi="Helvetica" w:cs="Helvetica"/>
          <w:color w:val="000000"/>
        </w:rPr>
        <w:t xml:space="preserve"> boost the financial security of 46 million households, benefiting 114 million people,</w:t>
      </w:r>
      <w:r w:rsidR="000C262C" w:rsidRPr="00EB6812">
        <w:rPr>
          <w:rFonts w:ascii="Helvetica" w:hAnsi="Helvetica" w:cs="Helvetica"/>
          <w:color w:val="000000"/>
        </w:rPr>
        <w:t xml:space="preserve"> including 8 million Black families, 9 million Latinx families, and 2 million Asian American families. The bill would also cut child poverty nationally by 28 percent, lifting 3.1 million children out of poverty and making another 7.7 million children less poor.</w:t>
      </w:r>
      <w:r w:rsidR="000C262C">
        <w:rPr>
          <w:rFonts w:ascii="Helvetica" w:hAnsi="Helvetica" w:cs="Helvetica"/>
          <w:color w:val="000000"/>
        </w:rPr>
        <w:t xml:space="preserve"> </w:t>
      </w:r>
      <w:r w:rsidR="00EF3878" w:rsidRPr="00EB6812">
        <w:rPr>
          <w:rFonts w:ascii="Helvetica" w:hAnsi="Helvetica" w:cs="Helvetica"/>
          <w:color w:val="000000"/>
        </w:rPr>
        <w:t xml:space="preserve">Specifically, the bill would: </w:t>
      </w:r>
    </w:p>
    <w:p w14:paraId="27E164BB"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Increase the EITC for families with children by roughly 25 percent</w:t>
      </w:r>
    </w:p>
    <w:p w14:paraId="0CE21342"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Substantially increase the EITC for workers not raising children and lower the eligibility age to 19</w:t>
      </w:r>
    </w:p>
    <w:p w14:paraId="58097CBA"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Make the full $2,000 CTC available to all low- and moderate-income families;</w:t>
      </w:r>
    </w:p>
    <w:p w14:paraId="7F02DCC9"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Create a new Young Child Tax Credit that would provide families with children under 6 years old an extra $1,000 per child (for a total of $3,000 per child)</w:t>
      </w:r>
    </w:p>
    <w:p w14:paraId="56E81F5A" w14:textId="14746079"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Make the CTC equally accessible to families in Puerto Rico while also expanding Puerto Rico’s EITC</w:t>
      </w:r>
    </w:p>
    <w:p w14:paraId="1A1EF7DF" w14:textId="18784272" w:rsidR="00045908" w:rsidRDefault="006000A2" w:rsidP="00735E98">
      <w:pPr>
        <w:pStyle w:val="NormalWeb"/>
        <w:spacing w:before="0" w:beforeAutospacing="0" w:after="120" w:afterAutospacing="0" w:line="276" w:lineRule="auto"/>
        <w:rPr>
          <w:rFonts w:ascii="Helvetica" w:hAnsi="Helvetica" w:cs="Helvetica"/>
          <w:color w:val="0D0C0C"/>
          <w:sz w:val="22"/>
          <w:szCs w:val="22"/>
        </w:rPr>
      </w:pPr>
      <w:r w:rsidRPr="00735E98">
        <w:rPr>
          <w:rFonts w:ascii="Helvetica" w:eastAsia="Times New Roman" w:hAnsi="Helvetica" w:cs="Helvetica"/>
          <w:color w:val="000000"/>
          <w:sz w:val="22"/>
          <w:szCs w:val="22"/>
        </w:rPr>
        <w:t>Under the bill, a single mom of two earning $20,000 a year would get a $3,700 boost. And, a married couple with two young kids making $45,000 a year would get a $3,500 boost</w:t>
      </w:r>
      <w:r w:rsidR="002018A9">
        <w:rPr>
          <w:rFonts w:ascii="Helvetica" w:eastAsia="Times New Roman" w:hAnsi="Helvetica" w:cs="Helvetica"/>
          <w:color w:val="000000"/>
          <w:sz w:val="22"/>
          <w:szCs w:val="22"/>
        </w:rPr>
        <w:t>.</w:t>
      </w:r>
      <w:r w:rsidRPr="00735E98">
        <w:rPr>
          <w:rFonts w:ascii="Helvetica" w:hAnsi="Helvetica" w:cs="Helvetica"/>
          <w:color w:val="0D0C0C"/>
          <w:sz w:val="22"/>
          <w:szCs w:val="22"/>
        </w:rPr>
        <w:t xml:space="preserve"> </w:t>
      </w:r>
      <w:r w:rsidR="00045908" w:rsidRPr="00735E98">
        <w:rPr>
          <w:rFonts w:ascii="Helvetica" w:hAnsi="Helvetica" w:cs="Helvetica"/>
          <w:color w:val="0D0C0C"/>
          <w:sz w:val="22"/>
          <w:szCs w:val="22"/>
        </w:rPr>
        <w:t xml:space="preserve">While there are some other good proposals to expand the EITC and the CTC, the Working Families Tax Relief Act is the only legislation that includes key policy improvements in </w:t>
      </w:r>
      <w:r w:rsidR="00045908" w:rsidRPr="00735E98">
        <w:rPr>
          <w:rFonts w:ascii="Helvetica" w:hAnsi="Helvetica" w:cs="Helvetica"/>
          <w:i/>
          <w:iCs/>
          <w:color w:val="0D0C0C"/>
          <w:sz w:val="22"/>
          <w:szCs w:val="22"/>
        </w:rPr>
        <w:t xml:space="preserve">both </w:t>
      </w:r>
      <w:r w:rsidR="00045908" w:rsidRPr="00735E98">
        <w:rPr>
          <w:rFonts w:ascii="Helvetica" w:hAnsi="Helvetica" w:cs="Helvetica"/>
          <w:color w:val="0D0C0C"/>
          <w:sz w:val="22"/>
          <w:szCs w:val="22"/>
        </w:rPr>
        <w:t>the EITC and CTC.</w:t>
      </w:r>
    </w:p>
    <w:p w14:paraId="1890349B" w14:textId="45ABAE08" w:rsidR="00E61E98" w:rsidRPr="00735E98" w:rsidRDefault="000C262C" w:rsidP="00735E98">
      <w:pPr>
        <w:spacing w:after="120" w:line="276" w:lineRule="auto"/>
        <w:rPr>
          <w:rFonts w:ascii="Helvetica" w:eastAsia="Times New Roman" w:hAnsi="Helvetica" w:cs="Helvetica"/>
          <w:color w:val="000000"/>
        </w:rPr>
      </w:pPr>
      <w:r w:rsidRPr="745D663C">
        <w:rPr>
          <w:rFonts w:ascii="Helvetica" w:eastAsia="Times New Roman" w:hAnsi="Helvetica" w:cs="Helvetica"/>
          <w:color w:val="000000" w:themeColor="text1"/>
        </w:rPr>
        <w:t>Overall, the Working Families Tax Relief Act would help make sure that low-income parents can give their children a good start in life. This pro-work proposal would help working people afford transportation and other things they need to stay on the job. The 2017 tax law was heavily tilted in favor of large corporations and the wealthy. It is time we fix our tax laws to give working people and children a fair shot to get ahead.</w:t>
      </w:r>
    </w:p>
    <w:p w14:paraId="15FB2E38" w14:textId="0824BF0C" w:rsidR="002018A9" w:rsidRPr="008F7223" w:rsidRDefault="00632971" w:rsidP="00735E98">
      <w:pPr>
        <w:spacing w:after="120" w:line="276" w:lineRule="auto"/>
        <w:rPr>
          <w:rFonts w:ascii="Helvetica" w:eastAsia="Times New Roman" w:hAnsi="Helvetica" w:cs="Helvetica"/>
          <w:color w:val="000000" w:themeColor="text1"/>
        </w:rPr>
      </w:pPr>
      <w:r w:rsidRPr="745D663C">
        <w:rPr>
          <w:rFonts w:ascii="Helvetica" w:eastAsia="Times New Roman" w:hAnsi="Helvetica" w:cs="Helvetica"/>
          <w:color w:val="000000" w:themeColor="text1"/>
        </w:rPr>
        <w:t xml:space="preserve">While we don’t expect the Working Families Tax Relief Act to be enacted this year, it is “foundational” legislation that sets the terms of the debate for how we should be focusing our efforts to rewrite the 2017 Trump tax law to promote policies that help millions of Americans struggling to make ends meet. If we can get policymakers and the public to rally around </w:t>
      </w:r>
      <w:r w:rsidR="007A2367" w:rsidRPr="745D663C">
        <w:rPr>
          <w:rFonts w:ascii="Helvetica" w:eastAsia="Times New Roman" w:hAnsi="Helvetica" w:cs="Helvetica"/>
          <w:color w:val="000000" w:themeColor="text1"/>
        </w:rPr>
        <w:t>specific proposals to expand the EITC and CTC</w:t>
      </w:r>
      <w:r w:rsidRPr="745D663C">
        <w:rPr>
          <w:rFonts w:ascii="Helvetica" w:eastAsia="Times New Roman" w:hAnsi="Helvetica" w:cs="Helvetica"/>
          <w:color w:val="000000" w:themeColor="text1"/>
        </w:rPr>
        <w:t>, we can cement expansions of the EITC and CTC as a top policy priority as part of any legislation moved over the next few years to rewrite the 2017 tax law.</w:t>
      </w:r>
      <w:r w:rsidR="00C74A93" w:rsidRPr="745D663C">
        <w:rPr>
          <w:rFonts w:ascii="Helvetica" w:eastAsia="Times New Roman" w:hAnsi="Helvetica" w:cs="Helvetica"/>
          <w:color w:val="000000" w:themeColor="text1"/>
        </w:rPr>
        <w:t xml:space="preserve"> </w:t>
      </w:r>
    </w:p>
    <w:p w14:paraId="074C1265" w14:textId="6028CE1E" w:rsidR="00DB2512" w:rsidRDefault="00621C57" w:rsidP="00735E98">
      <w:pPr>
        <w:spacing w:after="120" w:line="276" w:lineRule="auto"/>
        <w:rPr>
          <w:rFonts w:ascii="Helvetica" w:hAnsi="Helvetica" w:cs="Helvetica"/>
          <w:color w:val="000000"/>
        </w:rPr>
      </w:pPr>
      <w:r w:rsidRPr="00735E98">
        <w:rPr>
          <w:rFonts w:ascii="Helvetica" w:hAnsi="Helvetica" w:cs="Helvetica"/>
          <w:color w:val="000000"/>
        </w:rPr>
        <w:t>These credits are proven policy successes that help working people with low-wage jobs keep their heads above water, reduce poverty, and improve children’s opportunities. But they can do considerably more. The EITC and CTC expansions in this bill</w:t>
      </w:r>
      <w:r w:rsidR="007F06D4">
        <w:rPr>
          <w:rFonts w:ascii="Helvetica" w:hAnsi="Helvetica" w:cs="Helvetica"/>
          <w:color w:val="000000"/>
        </w:rPr>
        <w:t xml:space="preserve"> </w:t>
      </w:r>
      <w:r w:rsidRPr="00735E98">
        <w:rPr>
          <w:rFonts w:ascii="Helvetica" w:hAnsi="Helvetica" w:cs="Helvetica"/>
          <w:color w:val="000000"/>
        </w:rPr>
        <w:t>—</w:t>
      </w:r>
      <w:r w:rsidR="007F06D4">
        <w:rPr>
          <w:rFonts w:ascii="Helvetica" w:hAnsi="Helvetica" w:cs="Helvetica"/>
          <w:color w:val="000000"/>
        </w:rPr>
        <w:t xml:space="preserve"> </w:t>
      </w:r>
      <w:r w:rsidRPr="00735E98">
        <w:rPr>
          <w:rFonts w:ascii="Helvetica" w:hAnsi="Helvetica" w:cs="Helvetica"/>
          <w:color w:val="000000"/>
        </w:rPr>
        <w:t xml:space="preserve">in combination with legislation to raise the minimum wage, </w:t>
      </w:r>
      <w:r w:rsidR="00570A07" w:rsidRPr="00735E98">
        <w:rPr>
          <w:rFonts w:ascii="Helvetica" w:hAnsi="Helvetica" w:cs="Helvetica"/>
          <w:color w:val="000000"/>
        </w:rPr>
        <w:t>expand access to affordable housing and homeownership</w:t>
      </w:r>
      <w:r w:rsidR="00960FA5" w:rsidRPr="00735E98">
        <w:rPr>
          <w:rFonts w:ascii="Helvetica" w:hAnsi="Helvetica" w:cs="Helvetica"/>
          <w:color w:val="000000"/>
        </w:rPr>
        <w:t xml:space="preserve">, increase funding for child care, </w:t>
      </w:r>
      <w:r w:rsidRPr="00735E98">
        <w:rPr>
          <w:rFonts w:ascii="Helvetica" w:hAnsi="Helvetica" w:cs="Helvetica"/>
          <w:color w:val="000000"/>
        </w:rPr>
        <w:t>provide paid family and medical leave, and more</w:t>
      </w:r>
      <w:r w:rsidR="002018A9">
        <w:rPr>
          <w:rFonts w:ascii="Helvetica" w:hAnsi="Helvetica" w:cs="Helvetica"/>
          <w:color w:val="000000"/>
        </w:rPr>
        <w:t xml:space="preserve"> </w:t>
      </w:r>
      <w:r w:rsidRPr="00735E98">
        <w:rPr>
          <w:rFonts w:ascii="Helvetica" w:hAnsi="Helvetica" w:cs="Helvetica"/>
          <w:color w:val="000000"/>
        </w:rPr>
        <w:t xml:space="preserve">— would help address income inequality that has affected white, Black, and brown working-class households. </w:t>
      </w:r>
    </w:p>
    <w:p w14:paraId="55F5BDB3" w14:textId="6425CA14" w:rsidR="00AA374A" w:rsidRPr="008547A4" w:rsidRDefault="008547A4" w:rsidP="00EB6812">
      <w:pPr>
        <w:spacing w:after="120" w:line="276" w:lineRule="auto"/>
        <w:rPr>
          <w:rFonts w:ascii="Helvetica" w:eastAsia="Times New Roman" w:hAnsi="Helvetica" w:cs="Helvetica"/>
          <w:color w:val="000000" w:themeColor="text1"/>
        </w:rPr>
      </w:pPr>
      <w:r>
        <w:rPr>
          <w:rFonts w:ascii="Helvetica" w:eastAsia="Times New Roman" w:hAnsi="Helvetica" w:cs="Helvetica"/>
          <w:color w:val="000000" w:themeColor="text1"/>
        </w:rPr>
        <w:t xml:space="preserve">Luckily, the Senate </w:t>
      </w:r>
      <w:r w:rsidRPr="00632971">
        <w:rPr>
          <w:rFonts w:ascii="Helvetica" w:eastAsia="Times New Roman" w:hAnsi="Helvetica" w:cs="Helvetica"/>
          <w:i/>
          <w:color w:val="000000"/>
        </w:rPr>
        <w:t>Working Families Tax Relief Act</w:t>
      </w:r>
      <w:r>
        <w:rPr>
          <w:rFonts w:ascii="Helvetica" w:eastAsia="Times New Roman" w:hAnsi="Helvetica" w:cs="Helvetica"/>
          <w:color w:val="000000"/>
        </w:rPr>
        <w:t xml:space="preserve"> has broad support with 45 Senate cosponsors. With similar House legislation just introduced by Representatives Kildee and Evans, we have a chance to build momentum with representatives during advocacy meetings in DC and back home.</w:t>
      </w:r>
    </w:p>
    <w:sectPr w:rsidR="00AA374A" w:rsidRPr="008547A4" w:rsidSect="00873CF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974A" w14:textId="77777777" w:rsidR="006530E1" w:rsidRDefault="006530E1" w:rsidP="00192EF6">
      <w:pPr>
        <w:spacing w:after="0" w:line="240" w:lineRule="auto"/>
      </w:pPr>
      <w:r>
        <w:separator/>
      </w:r>
    </w:p>
  </w:endnote>
  <w:endnote w:type="continuationSeparator" w:id="0">
    <w:p w14:paraId="45FA42B1" w14:textId="77777777" w:rsidR="006530E1" w:rsidRDefault="006530E1" w:rsidP="00192EF6">
      <w:pPr>
        <w:spacing w:after="0" w:line="240" w:lineRule="auto"/>
      </w:pPr>
      <w:r>
        <w:continuationSeparator/>
      </w:r>
    </w:p>
  </w:endnote>
  <w:endnote w:type="continuationNotice" w:id="1">
    <w:p w14:paraId="455EABA7" w14:textId="77777777" w:rsidR="006530E1" w:rsidRDefault="00653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Lato Regular">
    <w:altName w:val="Segoe UI"/>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8EEC" w14:textId="7FEE78B2" w:rsidR="007211FB" w:rsidRDefault="007211FB" w:rsidP="003C2A19">
    <w:pPr>
      <w:pStyle w:val="Footer"/>
      <w:jc w:val="right"/>
    </w:pPr>
    <w:r>
      <w:rPr>
        <w:noProof/>
      </w:rPr>
      <w:drawing>
        <wp:inline distT="0" distB="0" distL="0" distR="0" wp14:anchorId="7A994C5B" wp14:editId="7DC1AB45">
          <wp:extent cx="794385" cy="419100"/>
          <wp:effectExtent l="0" t="0" r="0" b="0"/>
          <wp:docPr id="988386929" name="Picture 13" descr="P:\RESULT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94385"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5F25" w14:textId="77777777" w:rsidR="006530E1" w:rsidRDefault="006530E1" w:rsidP="00192EF6">
      <w:pPr>
        <w:spacing w:after="0" w:line="240" w:lineRule="auto"/>
      </w:pPr>
      <w:r>
        <w:separator/>
      </w:r>
    </w:p>
  </w:footnote>
  <w:footnote w:type="continuationSeparator" w:id="0">
    <w:p w14:paraId="03ECD54B" w14:textId="77777777" w:rsidR="006530E1" w:rsidRDefault="006530E1" w:rsidP="00192EF6">
      <w:pPr>
        <w:spacing w:after="0" w:line="240" w:lineRule="auto"/>
      </w:pPr>
      <w:r>
        <w:continuationSeparator/>
      </w:r>
    </w:p>
  </w:footnote>
  <w:footnote w:type="continuationNotice" w:id="1">
    <w:p w14:paraId="56C0B9A2" w14:textId="77777777" w:rsidR="006530E1" w:rsidRDefault="006530E1">
      <w:pPr>
        <w:spacing w:after="0" w:line="240" w:lineRule="auto"/>
      </w:pPr>
    </w:p>
  </w:footnote>
  <w:footnote w:id="2">
    <w:p w14:paraId="7B75961D" w14:textId="6BC7413D" w:rsidR="60F26DF0" w:rsidRDefault="60F26DF0" w:rsidP="60F26DF0">
      <w:pPr>
        <w:pStyle w:val="FootnoteText"/>
      </w:pPr>
      <w:r w:rsidRPr="60F26DF0">
        <w:rPr>
          <w:rStyle w:val="FootnoteReference"/>
        </w:rPr>
        <w:footnoteRef/>
      </w:r>
      <w:r w:rsidR="60D229CF">
        <w:t xml:space="preserve"> U.S. Census Bureau: </w:t>
      </w:r>
      <w:hyperlink r:id="rId1">
        <w:r w:rsidR="60D229CF" w:rsidRPr="60D229CF">
          <w:rPr>
            <w:rStyle w:val="Hyperlink"/>
          </w:rPr>
          <w:t>https://www.census.gov/library/publications/2018/demo/p60-265.html</w:t>
        </w:r>
      </w:hyperlink>
    </w:p>
  </w:footnote>
  <w:footnote w:id="3">
    <w:p w14:paraId="048168CA" w14:textId="3A0A7DCF" w:rsidR="0001147E" w:rsidRDefault="0001147E" w:rsidP="5BED69C2">
      <w:pPr>
        <w:pStyle w:val="FootnoteText"/>
      </w:pPr>
      <w:r w:rsidRPr="79A3DBBC">
        <w:rPr>
          <w:rStyle w:val="FootnoteReference"/>
        </w:rPr>
        <w:footnoteRef/>
      </w:r>
      <w:r w:rsidR="79A3DBBC">
        <w:t xml:space="preserve"> CBPP: </w:t>
      </w:r>
      <w:hyperlink>
        <w:r w:rsidR="79A3DBBC" w:rsidRPr="79A3DBBC">
          <w:rPr>
            <w:rStyle w:val="Hyperlink"/>
          </w:rPr>
          <w:t>https://www.cbpp.org/research/federal-tax/policy-basics-the-earned-income-tax-credit</w:t>
        </w:r>
      </w:hyperlink>
      <w:r w:rsidR="79A3DBBC">
        <w:t xml:space="preserve">  </w:t>
      </w:r>
    </w:p>
  </w:footnote>
  <w:footnote w:id="4">
    <w:p w14:paraId="36142675" w14:textId="77777777" w:rsidR="0001147E" w:rsidRPr="00760080" w:rsidRDefault="0001147E" w:rsidP="0001147E">
      <w:pPr>
        <w:pBdr>
          <w:top w:val="single" w:sz="4" w:space="1" w:color="auto"/>
        </w:pBdr>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Tax Credits for Working Families: </w:t>
      </w:r>
      <w:hyperlink r:id="rId2" w:history="1">
        <w:r w:rsidRPr="00E2704B">
          <w:rPr>
            <w:rStyle w:val="Hyperlink"/>
            <w:rFonts w:ascii="Arial" w:eastAsia="Franklin Gothic Book" w:hAnsi="Arial" w:cs="Arial"/>
            <w:color w:val="C00000"/>
            <w:sz w:val="18"/>
            <w:szCs w:val="18"/>
          </w:rPr>
          <w:t>http://www.taxcreditsforworkingfamilies.org/earned-income-tax-credit/</w:t>
        </w:r>
      </w:hyperlink>
    </w:p>
  </w:footnote>
  <w:footnote w:id="5">
    <w:p w14:paraId="3E141BF6"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Tax Policy Center (TPC): </w:t>
      </w:r>
      <w:hyperlink r:id="rId3" w:history="1">
        <w:r w:rsidRPr="00E2704B">
          <w:rPr>
            <w:rStyle w:val="Hyperlink"/>
            <w:rFonts w:ascii="Arial" w:hAnsi="Arial" w:cs="Arial"/>
            <w:color w:val="C00000"/>
            <w:sz w:val="18"/>
            <w:szCs w:val="18"/>
          </w:rPr>
          <w:t>http://www.taxpolicycenter.org/briefing-book/key-elements/family/eitc.cfm</w:t>
        </w:r>
      </w:hyperlink>
    </w:p>
  </w:footnote>
  <w:footnote w:id="6">
    <w:p w14:paraId="248194D2" w14:textId="77777777" w:rsidR="0001147E" w:rsidRPr="00760080" w:rsidRDefault="0001147E" w:rsidP="0001147E">
      <w:pPr>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Tax Policy Center (TPC): </w:t>
      </w:r>
      <w:hyperlink r:id="rId4" w:history="1">
        <w:r w:rsidRPr="00E2704B">
          <w:rPr>
            <w:rStyle w:val="Hyperlink"/>
            <w:rFonts w:ascii="Arial" w:eastAsia="Franklin Gothic Book" w:hAnsi="Arial" w:cs="Arial"/>
            <w:color w:val="C00000"/>
            <w:sz w:val="18"/>
            <w:szCs w:val="18"/>
          </w:rPr>
          <w:t>http://www.taxpolicycenter.org/taxtopics/encyclopedia/EITC.cfm</w:t>
        </w:r>
      </w:hyperlink>
    </w:p>
  </w:footnote>
  <w:footnote w:id="7">
    <w:p w14:paraId="43594FB0" w14:textId="0CAA444F" w:rsidR="0001147E" w:rsidRPr="00760080" w:rsidRDefault="0001147E" w:rsidP="5BED69C2">
      <w:pPr>
        <w:pStyle w:val="FootnoteText"/>
        <w:rPr>
          <w:rFonts w:ascii="Arial" w:hAnsi="Arial" w:cs="Arial"/>
          <w:color w:val="C00000"/>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w:t>
      </w:r>
      <w:r w:rsidR="5BED69C2" w:rsidRPr="5BED69C2">
        <w:t xml:space="preserve"> </w:t>
      </w:r>
      <w:hyperlink r:id="rId5">
        <w:r w:rsidR="5BED69C2" w:rsidRPr="5BED69C2">
          <w:rPr>
            <w:rStyle w:val="Hyperlink"/>
          </w:rPr>
          <w:t>https://www.cbpp.org/research/federal-tax/policy-basics-the-earned-income-tax-credit</w:t>
        </w:r>
      </w:hyperlink>
    </w:p>
    <w:p w14:paraId="324784CB" w14:textId="316BAAF9" w:rsidR="5BED69C2" w:rsidRDefault="5BED69C2" w:rsidP="5BED69C2">
      <w:pPr>
        <w:pStyle w:val="FootnoteText"/>
      </w:pPr>
    </w:p>
  </w:footnote>
  <w:footnote w:id="8">
    <w:p w14:paraId="791AFAF8" w14:textId="18757C57" w:rsidR="004D7F74" w:rsidRDefault="004D7F74">
      <w:pPr>
        <w:pStyle w:val="FootnoteText"/>
      </w:pPr>
      <w:r>
        <w:rPr>
          <w:rStyle w:val="FootnoteReference"/>
        </w:rPr>
        <w:footnoteRef/>
      </w:r>
      <w:r>
        <w:t xml:space="preserve"> </w:t>
      </w:r>
      <w:r w:rsidR="004A1A54">
        <w:t xml:space="preserve">Tax Policy Center (TPC): </w:t>
      </w:r>
      <w:hyperlink r:id="rId6" w:history="1">
        <w:r w:rsidR="00200A8A" w:rsidRPr="00200A8A">
          <w:rPr>
            <w:rStyle w:val="Hyperlink"/>
          </w:rPr>
          <w:t>https://www.taxpolicycenter.org/briefing-book/how-does-earned-income-tax-credit-affect-poor-families</w:t>
        </w:r>
      </w:hyperlink>
    </w:p>
  </w:footnote>
  <w:footnote w:id="9">
    <w:p w14:paraId="49C9B62B"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Ibid.</w:t>
      </w:r>
    </w:p>
  </w:footnote>
  <w:footnote w:id="10">
    <w:p w14:paraId="5A5E5A2C"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7" w:history="1">
        <w:r w:rsidRPr="00E2704B">
          <w:rPr>
            <w:rStyle w:val="Hyperlink"/>
            <w:rFonts w:ascii="Arial" w:hAnsi="Arial" w:cs="Arial"/>
            <w:color w:val="C00000"/>
            <w:sz w:val="18"/>
            <w:szCs w:val="18"/>
          </w:rPr>
          <w:t>http://www.cbpp.org/research/policy-basics-the-earned-income-tax-credit</w:t>
        </w:r>
      </w:hyperlink>
    </w:p>
  </w:footnote>
  <w:footnote w:id="11">
    <w:p w14:paraId="70B63FEB"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8" w:history="1">
        <w:r w:rsidRPr="00E2704B">
          <w:rPr>
            <w:rStyle w:val="Hyperlink"/>
            <w:rFonts w:ascii="Arial" w:hAnsi="Arial" w:cs="Arial"/>
            <w:color w:val="C00000"/>
            <w:sz w:val="18"/>
            <w:szCs w:val="18"/>
          </w:rPr>
          <w:t>http://www.cbpp.org/research/federal-tax/eitc-and-child-tax-credit-promote-work-reduce-poverty-and-support-childrens?fa=view&amp;id=3793</w:t>
        </w:r>
      </w:hyperlink>
      <w:r w:rsidRPr="00760080">
        <w:rPr>
          <w:rStyle w:val="Hyperlink"/>
          <w:rFonts w:ascii="Arial" w:hAnsi="Arial" w:cs="Arial"/>
          <w:sz w:val="18"/>
          <w:szCs w:val="18"/>
        </w:rPr>
        <w:t xml:space="preserve"> </w:t>
      </w:r>
    </w:p>
  </w:footnote>
  <w:footnote w:id="12">
    <w:p w14:paraId="1ABF16D4"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Center for American Progress (CAP): </w:t>
      </w:r>
      <w:hyperlink r:id="rId9" w:history="1">
        <w:r w:rsidRPr="00E2704B">
          <w:rPr>
            <w:rStyle w:val="Hyperlink"/>
            <w:rFonts w:ascii="Arial" w:hAnsi="Arial" w:cs="Arial"/>
            <w:color w:val="C00000"/>
            <w:sz w:val="18"/>
            <w:szCs w:val="18"/>
          </w:rPr>
          <w:t>https://www.americanprogress.org/issues/poverty/report/2014/10/07/98452/harnessing-the-eitc-and-other-tax-credits-to-promote-financial-stability-and-economic-mobility/</w:t>
        </w:r>
      </w:hyperlink>
      <w:r w:rsidRPr="00760080">
        <w:rPr>
          <w:rFonts w:ascii="Arial" w:hAnsi="Arial" w:cs="Arial"/>
          <w:sz w:val="18"/>
          <w:szCs w:val="18"/>
        </w:rPr>
        <w:t xml:space="preserve"> </w:t>
      </w:r>
    </w:p>
  </w:footnote>
  <w:footnote w:id="13">
    <w:p w14:paraId="2FDB919E"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10" w:history="1">
        <w:r w:rsidRPr="00E2704B">
          <w:rPr>
            <w:rStyle w:val="Hyperlink"/>
            <w:rFonts w:ascii="Arial" w:hAnsi="Arial" w:cs="Arial"/>
            <w:color w:val="C00000"/>
            <w:sz w:val="18"/>
            <w:szCs w:val="18"/>
          </w:rPr>
          <w:t>http://www.cbpp.org/research/federal-tax/eitc-and-child-tax-credit-promote-work-reduce-poverty-and-support-childrens?fa=view&amp;id=3793</w:t>
        </w:r>
      </w:hyperlink>
      <w:r w:rsidRPr="00760080">
        <w:rPr>
          <w:rFonts w:ascii="Arial" w:hAnsi="Arial" w:cs="Arial"/>
          <w:noProof/>
          <w:color w:val="2F5496" w:themeColor="accent1" w:themeShade="BF"/>
          <w:sz w:val="18"/>
          <w:szCs w:val="18"/>
          <w:u w:val="single"/>
        </w:rPr>
        <w:t xml:space="preserve">  </w:t>
      </w:r>
    </w:p>
  </w:footnote>
  <w:footnote w:id="14">
    <w:p w14:paraId="3365F9D3" w14:textId="31A9EEB7" w:rsidR="2B48DD89" w:rsidRDefault="2B48DD89" w:rsidP="2B48DD89">
      <w:pPr>
        <w:pStyle w:val="FootnoteText"/>
      </w:pPr>
      <w:r w:rsidRPr="2B48DD89">
        <w:rPr>
          <w:rStyle w:val="FootnoteReference"/>
        </w:rPr>
        <w:footnoteRef/>
      </w:r>
      <w:r>
        <w:t xml:space="preserve"> CBPP: </w:t>
      </w:r>
      <w:hyperlink r:id="rId11">
        <w:r w:rsidRPr="2B48DD89">
          <w:rPr>
            <w:rStyle w:val="Hyperlink"/>
          </w:rPr>
          <w:t>https://www.cbpp.org/research/federal-tax/policy-basics-the-child-tax-credit</w:t>
        </w:r>
      </w:hyperlink>
      <w:r>
        <w:t xml:space="preserve"> </w:t>
      </w:r>
    </w:p>
  </w:footnote>
  <w:footnote w:id="15">
    <w:p w14:paraId="105DCAD0" w14:textId="21BCC279" w:rsidR="00FE4276" w:rsidRDefault="00FE4276">
      <w:pPr>
        <w:pStyle w:val="FootnoteText"/>
      </w:pPr>
      <w:r>
        <w:rPr>
          <w:rStyle w:val="FootnoteReference"/>
        </w:rPr>
        <w:footnoteRef/>
      </w:r>
      <w:r>
        <w:t xml:space="preserve"> </w:t>
      </w:r>
      <w:r w:rsidR="00550B87">
        <w:t xml:space="preserve">ITEP: </w:t>
      </w:r>
      <w:hyperlink r:id="rId12" w:history="1">
        <w:r w:rsidR="00550B87" w:rsidRPr="00550B87">
          <w:rPr>
            <w:color w:val="0000FF"/>
            <w:sz w:val="22"/>
            <w:szCs w:val="22"/>
            <w:u w:val="single"/>
          </w:rPr>
          <w:t>https://itep.org/the-case-for-extending-state-level-child-tax-credits-to-those-left-out-a-50-state-analysis/</w:t>
        </w:r>
      </w:hyperlink>
    </w:p>
  </w:footnote>
  <w:footnote w:id="16">
    <w:p w14:paraId="33A2C7AA" w14:textId="77777777" w:rsidR="0099703F" w:rsidRPr="00760080" w:rsidRDefault="0099703F" w:rsidP="0099703F">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r w:rsidRPr="00E2704B">
        <w:rPr>
          <w:rFonts w:ascii="Arial" w:hAnsi="Arial" w:cs="Arial"/>
          <w:color w:val="C00000"/>
          <w:sz w:val="18"/>
          <w:szCs w:val="18"/>
        </w:rPr>
        <w:t>http://www.cbpp.org/research/policy-basics-the-child-tax-credit</w:t>
      </w:r>
    </w:p>
  </w:footnote>
  <w:footnote w:id="17">
    <w:p w14:paraId="06D28307" w14:textId="77777777" w:rsidR="0099703F" w:rsidRPr="00760080" w:rsidRDefault="0099703F" w:rsidP="0099703F">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w:t>
      </w:r>
      <w:r>
        <w:rPr>
          <w:rFonts w:ascii="Arial" w:hAnsi="Arial" w:cs="Arial"/>
          <w:sz w:val="18"/>
          <w:szCs w:val="18"/>
        </w:rPr>
        <w:t>IBID</w:t>
      </w:r>
    </w:p>
  </w:footnote>
  <w:footnote w:id="18">
    <w:p w14:paraId="1D81DCB0"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13" w:history="1">
        <w:r w:rsidRPr="00E2704B">
          <w:rPr>
            <w:rStyle w:val="Hyperlink"/>
            <w:rFonts w:ascii="Arial" w:hAnsi="Arial" w:cs="Arial"/>
            <w:color w:val="C00000"/>
            <w:sz w:val="18"/>
            <w:szCs w:val="18"/>
          </w:rPr>
          <w:t>http://www.cbpp.org/research/policy-basics-the-child-tax-credit</w:t>
        </w:r>
      </w:hyperlink>
      <w:r w:rsidRPr="00760080">
        <w:rPr>
          <w:rFonts w:ascii="Arial" w:hAnsi="Arial" w:cs="Arial"/>
          <w:color w:val="2F5496" w:themeColor="accent1" w:themeShade="BF"/>
          <w:sz w:val="18"/>
          <w:szCs w:val="18"/>
          <w:u w:val="single"/>
        </w:rPr>
        <w:t xml:space="preserve">  </w:t>
      </w:r>
    </w:p>
  </w:footnote>
  <w:footnote w:id="19">
    <w:p w14:paraId="13737A6F" w14:textId="77777777" w:rsidR="00646D63" w:rsidRDefault="00646D63" w:rsidP="00646D63">
      <w:pPr>
        <w:pStyle w:val="FootnoteText"/>
      </w:pPr>
      <w:r>
        <w:rPr>
          <w:rStyle w:val="FootnoteReference"/>
        </w:rPr>
        <w:footnoteRef/>
      </w:r>
      <w:r>
        <w:t xml:space="preserve"> Marr, C., Duke, B., Huang, C., “New Tax Law Is Fundamentally Flawed and Will Require Basic Restructuring.”</w:t>
      </w:r>
      <w:r w:rsidRPr="00310CF6">
        <w:t xml:space="preserve"> </w:t>
      </w:r>
      <w:hyperlink r:id="rId14" w:history="1">
        <w:r>
          <w:rPr>
            <w:rStyle w:val="Hyperlink"/>
          </w:rPr>
          <w:t>https://www.cbpp.org/research/federal-tax/new-tax-law-is-fundamentally-flawed-and-will-require-basic-restructuring</w:t>
        </w:r>
      </w:hyperlink>
      <w:r>
        <w:t xml:space="preserve">. 2018. </w:t>
      </w:r>
    </w:p>
  </w:footnote>
  <w:footnote w:id="20">
    <w:p w14:paraId="13DDB9B9" w14:textId="77777777" w:rsidR="00BF527A" w:rsidRPr="00760080" w:rsidRDefault="00BF527A" w:rsidP="00BF527A">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Tax Credits for Working Families</w:t>
      </w:r>
      <w:r w:rsidRPr="00E2704B">
        <w:rPr>
          <w:rFonts w:ascii="Arial" w:hAnsi="Arial" w:cs="Arial"/>
          <w:color w:val="C00000"/>
          <w:sz w:val="18"/>
          <w:szCs w:val="18"/>
        </w:rPr>
        <w:t>: http://www.taxcreditsforworkingfamilies.org/2016/03/new-survey-sheds-light-workers-use-eitc/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211FB" w14:paraId="0B103A04" w14:textId="77777777" w:rsidTr="2C536D28">
      <w:tc>
        <w:tcPr>
          <w:tcW w:w="3120" w:type="dxa"/>
        </w:tcPr>
        <w:p w14:paraId="484FBE84" w14:textId="046A6E89" w:rsidR="007211FB" w:rsidRDefault="007211FB" w:rsidP="2C536D28">
          <w:pPr>
            <w:pStyle w:val="Header"/>
            <w:ind w:left="-115"/>
          </w:pPr>
        </w:p>
      </w:tc>
      <w:tc>
        <w:tcPr>
          <w:tcW w:w="3120" w:type="dxa"/>
        </w:tcPr>
        <w:p w14:paraId="3B42BFD2" w14:textId="3994046B" w:rsidR="007211FB" w:rsidRDefault="007211FB" w:rsidP="2C536D28">
          <w:pPr>
            <w:pStyle w:val="Header"/>
            <w:jc w:val="center"/>
          </w:pPr>
        </w:p>
      </w:tc>
      <w:tc>
        <w:tcPr>
          <w:tcW w:w="3120" w:type="dxa"/>
        </w:tcPr>
        <w:p w14:paraId="447D5D07" w14:textId="50C5C5D5" w:rsidR="007211FB" w:rsidRDefault="007211FB" w:rsidP="2C536D28">
          <w:pPr>
            <w:pStyle w:val="Header"/>
            <w:ind w:right="-115"/>
            <w:jc w:val="right"/>
          </w:pPr>
        </w:p>
      </w:tc>
    </w:tr>
  </w:tbl>
  <w:p w14:paraId="2DDF7027" w14:textId="7FD59284" w:rsidR="007211FB" w:rsidRDefault="007211FB" w:rsidP="2C53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B16"/>
    <w:multiLevelType w:val="multilevel"/>
    <w:tmpl w:val="7BA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94B"/>
    <w:multiLevelType w:val="multilevel"/>
    <w:tmpl w:val="0E4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195A"/>
    <w:multiLevelType w:val="multilevel"/>
    <w:tmpl w:val="881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350B8"/>
    <w:multiLevelType w:val="multilevel"/>
    <w:tmpl w:val="D2E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164D8"/>
    <w:multiLevelType w:val="multilevel"/>
    <w:tmpl w:val="109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B3BE1"/>
    <w:multiLevelType w:val="multilevel"/>
    <w:tmpl w:val="E8EE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10D44"/>
    <w:multiLevelType w:val="multilevel"/>
    <w:tmpl w:val="459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D1F51"/>
    <w:multiLevelType w:val="multilevel"/>
    <w:tmpl w:val="5EDE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10178"/>
    <w:multiLevelType w:val="multilevel"/>
    <w:tmpl w:val="2C76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83FBB"/>
    <w:multiLevelType w:val="hybridMultilevel"/>
    <w:tmpl w:val="627E182C"/>
    <w:lvl w:ilvl="0" w:tplc="4EEAF786">
      <w:start w:val="2015"/>
      <w:numFmt w:val="bullet"/>
      <w:lvlText w:val="–"/>
      <w:lvlJc w:val="left"/>
      <w:pPr>
        <w:ind w:left="720" w:hanging="360"/>
      </w:pPr>
      <w:rPr>
        <w:rFonts w:ascii="Helvetica" w:eastAsia="MS PMincho"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C42C4"/>
    <w:multiLevelType w:val="hybridMultilevel"/>
    <w:tmpl w:val="4BD46D30"/>
    <w:lvl w:ilvl="0" w:tplc="38FEEBF8">
      <w:start w:val="1"/>
      <w:numFmt w:val="decimal"/>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9D46829"/>
    <w:multiLevelType w:val="hybridMultilevel"/>
    <w:tmpl w:val="E64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03F49"/>
    <w:multiLevelType w:val="hybridMultilevel"/>
    <w:tmpl w:val="1430F0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47B"/>
    <w:multiLevelType w:val="multilevel"/>
    <w:tmpl w:val="431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085C63"/>
    <w:multiLevelType w:val="multilevel"/>
    <w:tmpl w:val="0E7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73803"/>
    <w:multiLevelType w:val="hybridMultilevel"/>
    <w:tmpl w:val="FA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761"/>
    <w:multiLevelType w:val="multilevel"/>
    <w:tmpl w:val="36D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B08D9"/>
    <w:multiLevelType w:val="hybridMultilevel"/>
    <w:tmpl w:val="2E502EC2"/>
    <w:lvl w:ilvl="0" w:tplc="440C03DA">
      <w:start w:val="1"/>
      <w:numFmt w:val="bullet"/>
      <w:lvlText w:val=""/>
      <w:lvlJc w:val="left"/>
      <w:pPr>
        <w:ind w:left="720" w:hanging="360"/>
      </w:pPr>
      <w:rPr>
        <w:rFonts w:ascii="Symbol" w:hAnsi="Symbol" w:hint="default"/>
      </w:rPr>
    </w:lvl>
    <w:lvl w:ilvl="1" w:tplc="2424EBEE">
      <w:start w:val="1"/>
      <w:numFmt w:val="bullet"/>
      <w:lvlText w:val="o"/>
      <w:lvlJc w:val="left"/>
      <w:pPr>
        <w:ind w:left="1440" w:hanging="360"/>
      </w:pPr>
      <w:rPr>
        <w:rFonts w:ascii="Courier New" w:hAnsi="Courier New" w:hint="default"/>
      </w:rPr>
    </w:lvl>
    <w:lvl w:ilvl="2" w:tplc="893EABB4">
      <w:start w:val="1"/>
      <w:numFmt w:val="bullet"/>
      <w:lvlText w:val=""/>
      <w:lvlJc w:val="left"/>
      <w:pPr>
        <w:ind w:left="2160" w:hanging="360"/>
      </w:pPr>
      <w:rPr>
        <w:rFonts w:ascii="Wingdings" w:hAnsi="Wingdings" w:hint="default"/>
      </w:rPr>
    </w:lvl>
    <w:lvl w:ilvl="3" w:tplc="8E247090">
      <w:start w:val="1"/>
      <w:numFmt w:val="bullet"/>
      <w:lvlText w:val=""/>
      <w:lvlJc w:val="left"/>
      <w:pPr>
        <w:ind w:left="2880" w:hanging="360"/>
      </w:pPr>
      <w:rPr>
        <w:rFonts w:ascii="Symbol" w:hAnsi="Symbol" w:hint="default"/>
      </w:rPr>
    </w:lvl>
    <w:lvl w:ilvl="4" w:tplc="AA9A47CA">
      <w:start w:val="1"/>
      <w:numFmt w:val="bullet"/>
      <w:lvlText w:val="o"/>
      <w:lvlJc w:val="left"/>
      <w:pPr>
        <w:ind w:left="3600" w:hanging="360"/>
      </w:pPr>
      <w:rPr>
        <w:rFonts w:ascii="Courier New" w:hAnsi="Courier New" w:hint="default"/>
      </w:rPr>
    </w:lvl>
    <w:lvl w:ilvl="5" w:tplc="A2E81568">
      <w:start w:val="1"/>
      <w:numFmt w:val="bullet"/>
      <w:lvlText w:val=""/>
      <w:lvlJc w:val="left"/>
      <w:pPr>
        <w:ind w:left="4320" w:hanging="360"/>
      </w:pPr>
      <w:rPr>
        <w:rFonts w:ascii="Wingdings" w:hAnsi="Wingdings" w:hint="default"/>
      </w:rPr>
    </w:lvl>
    <w:lvl w:ilvl="6" w:tplc="8018BFB6">
      <w:start w:val="1"/>
      <w:numFmt w:val="bullet"/>
      <w:lvlText w:val=""/>
      <w:lvlJc w:val="left"/>
      <w:pPr>
        <w:ind w:left="5040" w:hanging="360"/>
      </w:pPr>
      <w:rPr>
        <w:rFonts w:ascii="Symbol" w:hAnsi="Symbol" w:hint="default"/>
      </w:rPr>
    </w:lvl>
    <w:lvl w:ilvl="7" w:tplc="3D425F14">
      <w:start w:val="1"/>
      <w:numFmt w:val="bullet"/>
      <w:lvlText w:val="o"/>
      <w:lvlJc w:val="left"/>
      <w:pPr>
        <w:ind w:left="5760" w:hanging="360"/>
      </w:pPr>
      <w:rPr>
        <w:rFonts w:ascii="Courier New" w:hAnsi="Courier New" w:hint="default"/>
      </w:rPr>
    </w:lvl>
    <w:lvl w:ilvl="8" w:tplc="1C461142">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8"/>
  </w:num>
  <w:num w:numId="5">
    <w:abstractNumId w:val="7"/>
  </w:num>
  <w:num w:numId="6">
    <w:abstractNumId w:val="13"/>
  </w:num>
  <w:num w:numId="7">
    <w:abstractNumId w:val="6"/>
  </w:num>
  <w:num w:numId="8">
    <w:abstractNumId w:val="15"/>
  </w:num>
  <w:num w:numId="9">
    <w:abstractNumId w:val="14"/>
  </w:num>
  <w:num w:numId="10">
    <w:abstractNumId w:val="5"/>
  </w:num>
  <w:num w:numId="11">
    <w:abstractNumId w:val="1"/>
  </w:num>
  <w:num w:numId="12">
    <w:abstractNumId w:val="11"/>
  </w:num>
  <w:num w:numId="13">
    <w:abstractNumId w:val="12"/>
  </w:num>
  <w:num w:numId="14">
    <w:abstractNumId w:val="9"/>
  </w:num>
  <w:num w:numId="15">
    <w:abstractNumId w:val="10"/>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A"/>
    <w:rsid w:val="00002656"/>
    <w:rsid w:val="00003ECB"/>
    <w:rsid w:val="00004DAD"/>
    <w:rsid w:val="00005431"/>
    <w:rsid w:val="000103B8"/>
    <w:rsid w:val="00011356"/>
    <w:rsid w:val="0001147E"/>
    <w:rsid w:val="00016ABA"/>
    <w:rsid w:val="00016E40"/>
    <w:rsid w:val="000224C8"/>
    <w:rsid w:val="00024243"/>
    <w:rsid w:val="00030705"/>
    <w:rsid w:val="00036772"/>
    <w:rsid w:val="00042E15"/>
    <w:rsid w:val="00045908"/>
    <w:rsid w:val="00047EDF"/>
    <w:rsid w:val="00051D40"/>
    <w:rsid w:val="000534C1"/>
    <w:rsid w:val="000549FF"/>
    <w:rsid w:val="00060E2B"/>
    <w:rsid w:val="00061179"/>
    <w:rsid w:val="000618D8"/>
    <w:rsid w:val="00073957"/>
    <w:rsid w:val="00080DD7"/>
    <w:rsid w:val="0008600D"/>
    <w:rsid w:val="00086BBF"/>
    <w:rsid w:val="00087524"/>
    <w:rsid w:val="0009178F"/>
    <w:rsid w:val="000924A0"/>
    <w:rsid w:val="00093297"/>
    <w:rsid w:val="00096789"/>
    <w:rsid w:val="00097BD7"/>
    <w:rsid w:val="000A7B50"/>
    <w:rsid w:val="000A7F9A"/>
    <w:rsid w:val="000B07EB"/>
    <w:rsid w:val="000B589F"/>
    <w:rsid w:val="000B6A43"/>
    <w:rsid w:val="000B7E2C"/>
    <w:rsid w:val="000C262C"/>
    <w:rsid w:val="000C3379"/>
    <w:rsid w:val="000C6356"/>
    <w:rsid w:val="000D20D9"/>
    <w:rsid w:val="000D4BCA"/>
    <w:rsid w:val="000D4F78"/>
    <w:rsid w:val="000D75F4"/>
    <w:rsid w:val="000E1798"/>
    <w:rsid w:val="000E7E94"/>
    <w:rsid w:val="00107E86"/>
    <w:rsid w:val="00110D45"/>
    <w:rsid w:val="0011470B"/>
    <w:rsid w:val="001164AD"/>
    <w:rsid w:val="00120ABC"/>
    <w:rsid w:val="00120B78"/>
    <w:rsid w:val="00122CFF"/>
    <w:rsid w:val="00124083"/>
    <w:rsid w:val="00131935"/>
    <w:rsid w:val="00137028"/>
    <w:rsid w:val="00150761"/>
    <w:rsid w:val="00156C8A"/>
    <w:rsid w:val="00157C31"/>
    <w:rsid w:val="00161207"/>
    <w:rsid w:val="00161E40"/>
    <w:rsid w:val="00163F3D"/>
    <w:rsid w:val="00173B34"/>
    <w:rsid w:val="00175E19"/>
    <w:rsid w:val="00176B12"/>
    <w:rsid w:val="00186556"/>
    <w:rsid w:val="00186B40"/>
    <w:rsid w:val="00192D0A"/>
    <w:rsid w:val="00192EF6"/>
    <w:rsid w:val="00195E5C"/>
    <w:rsid w:val="001A0797"/>
    <w:rsid w:val="001A1244"/>
    <w:rsid w:val="001C330A"/>
    <w:rsid w:val="001C57E6"/>
    <w:rsid w:val="001D4658"/>
    <w:rsid w:val="001E0DCB"/>
    <w:rsid w:val="001E2E1C"/>
    <w:rsid w:val="001E4746"/>
    <w:rsid w:val="001E6C19"/>
    <w:rsid w:val="001F2F07"/>
    <w:rsid w:val="00200A8A"/>
    <w:rsid w:val="002018A9"/>
    <w:rsid w:val="002031D4"/>
    <w:rsid w:val="002033AD"/>
    <w:rsid w:val="002052B3"/>
    <w:rsid w:val="00205AEF"/>
    <w:rsid w:val="0021043B"/>
    <w:rsid w:val="002209B9"/>
    <w:rsid w:val="00223C0E"/>
    <w:rsid w:val="00234BB2"/>
    <w:rsid w:val="0023732C"/>
    <w:rsid w:val="00237888"/>
    <w:rsid w:val="00237DF4"/>
    <w:rsid w:val="00240188"/>
    <w:rsid w:val="00241DF4"/>
    <w:rsid w:val="00241EAB"/>
    <w:rsid w:val="00243B9D"/>
    <w:rsid w:val="00245145"/>
    <w:rsid w:val="00247284"/>
    <w:rsid w:val="00247566"/>
    <w:rsid w:val="00250413"/>
    <w:rsid w:val="00255DB4"/>
    <w:rsid w:val="002632F8"/>
    <w:rsid w:val="00271A21"/>
    <w:rsid w:val="00271F0C"/>
    <w:rsid w:val="00274C53"/>
    <w:rsid w:val="0027779C"/>
    <w:rsid w:val="002802C0"/>
    <w:rsid w:val="002860A4"/>
    <w:rsid w:val="002860D4"/>
    <w:rsid w:val="00287AF8"/>
    <w:rsid w:val="00290A11"/>
    <w:rsid w:val="00292F63"/>
    <w:rsid w:val="002938EC"/>
    <w:rsid w:val="002962CF"/>
    <w:rsid w:val="002A40AC"/>
    <w:rsid w:val="002A4C43"/>
    <w:rsid w:val="002A60DB"/>
    <w:rsid w:val="002A7C52"/>
    <w:rsid w:val="002B319C"/>
    <w:rsid w:val="002B487F"/>
    <w:rsid w:val="002B539D"/>
    <w:rsid w:val="002C0F3E"/>
    <w:rsid w:val="002C28E3"/>
    <w:rsid w:val="002D20E6"/>
    <w:rsid w:val="002D395F"/>
    <w:rsid w:val="002D5035"/>
    <w:rsid w:val="002D6167"/>
    <w:rsid w:val="002E1505"/>
    <w:rsid w:val="002E1711"/>
    <w:rsid w:val="002E441C"/>
    <w:rsid w:val="002F0281"/>
    <w:rsid w:val="002F2E9E"/>
    <w:rsid w:val="002F33BB"/>
    <w:rsid w:val="002F36E8"/>
    <w:rsid w:val="002F4E58"/>
    <w:rsid w:val="0030059B"/>
    <w:rsid w:val="003057C2"/>
    <w:rsid w:val="00310522"/>
    <w:rsid w:val="00310652"/>
    <w:rsid w:val="00312A82"/>
    <w:rsid w:val="00313482"/>
    <w:rsid w:val="003233FD"/>
    <w:rsid w:val="003246D5"/>
    <w:rsid w:val="00335637"/>
    <w:rsid w:val="0033715C"/>
    <w:rsid w:val="00337462"/>
    <w:rsid w:val="00343F3C"/>
    <w:rsid w:val="0034767F"/>
    <w:rsid w:val="00352FBF"/>
    <w:rsid w:val="00355418"/>
    <w:rsid w:val="0035584A"/>
    <w:rsid w:val="00365B4B"/>
    <w:rsid w:val="003719EF"/>
    <w:rsid w:val="00372605"/>
    <w:rsid w:val="00373CE2"/>
    <w:rsid w:val="00374BE6"/>
    <w:rsid w:val="00375EA2"/>
    <w:rsid w:val="003817B3"/>
    <w:rsid w:val="003831D5"/>
    <w:rsid w:val="003838CA"/>
    <w:rsid w:val="0039015A"/>
    <w:rsid w:val="00396700"/>
    <w:rsid w:val="003A55BF"/>
    <w:rsid w:val="003A5640"/>
    <w:rsid w:val="003A77C4"/>
    <w:rsid w:val="003B0ABF"/>
    <w:rsid w:val="003B2D7D"/>
    <w:rsid w:val="003B6D55"/>
    <w:rsid w:val="003B72C2"/>
    <w:rsid w:val="003C0432"/>
    <w:rsid w:val="003C0C8F"/>
    <w:rsid w:val="003C2A19"/>
    <w:rsid w:val="003C3320"/>
    <w:rsid w:val="003C34C6"/>
    <w:rsid w:val="003C7857"/>
    <w:rsid w:val="003D1F4F"/>
    <w:rsid w:val="003D2601"/>
    <w:rsid w:val="003D4F1C"/>
    <w:rsid w:val="003D5B6F"/>
    <w:rsid w:val="003D7B75"/>
    <w:rsid w:val="003E3565"/>
    <w:rsid w:val="003F258F"/>
    <w:rsid w:val="00402249"/>
    <w:rsid w:val="004069A5"/>
    <w:rsid w:val="004125E0"/>
    <w:rsid w:val="00414889"/>
    <w:rsid w:val="004149F2"/>
    <w:rsid w:val="00417376"/>
    <w:rsid w:val="004247C8"/>
    <w:rsid w:val="004344B0"/>
    <w:rsid w:val="004364E9"/>
    <w:rsid w:val="004404FC"/>
    <w:rsid w:val="00441649"/>
    <w:rsid w:val="00441826"/>
    <w:rsid w:val="00442F3D"/>
    <w:rsid w:val="004450F8"/>
    <w:rsid w:val="00445661"/>
    <w:rsid w:val="00446E5C"/>
    <w:rsid w:val="00447A35"/>
    <w:rsid w:val="00450B81"/>
    <w:rsid w:val="004514F5"/>
    <w:rsid w:val="004568A6"/>
    <w:rsid w:val="0046124C"/>
    <w:rsid w:val="00461E4A"/>
    <w:rsid w:val="00465A40"/>
    <w:rsid w:val="00465F6A"/>
    <w:rsid w:val="00474CAE"/>
    <w:rsid w:val="00477DA0"/>
    <w:rsid w:val="004944CB"/>
    <w:rsid w:val="00495AB9"/>
    <w:rsid w:val="004A1546"/>
    <w:rsid w:val="004A1A54"/>
    <w:rsid w:val="004A2803"/>
    <w:rsid w:val="004A3AB1"/>
    <w:rsid w:val="004B30CF"/>
    <w:rsid w:val="004B58AF"/>
    <w:rsid w:val="004C4663"/>
    <w:rsid w:val="004C46BB"/>
    <w:rsid w:val="004C56CE"/>
    <w:rsid w:val="004D1200"/>
    <w:rsid w:val="004D7F74"/>
    <w:rsid w:val="004E066F"/>
    <w:rsid w:val="004E78F6"/>
    <w:rsid w:val="004F522B"/>
    <w:rsid w:val="00500BB0"/>
    <w:rsid w:val="005037EE"/>
    <w:rsid w:val="0051392A"/>
    <w:rsid w:val="005235C4"/>
    <w:rsid w:val="0052368F"/>
    <w:rsid w:val="00530C43"/>
    <w:rsid w:val="00535F2A"/>
    <w:rsid w:val="0053614D"/>
    <w:rsid w:val="00540FF2"/>
    <w:rsid w:val="00541627"/>
    <w:rsid w:val="00550B87"/>
    <w:rsid w:val="005519CC"/>
    <w:rsid w:val="005522FA"/>
    <w:rsid w:val="00553556"/>
    <w:rsid w:val="00555884"/>
    <w:rsid w:val="00561463"/>
    <w:rsid w:val="00561EFC"/>
    <w:rsid w:val="00564904"/>
    <w:rsid w:val="00570A07"/>
    <w:rsid w:val="005748F6"/>
    <w:rsid w:val="005755ED"/>
    <w:rsid w:val="00580441"/>
    <w:rsid w:val="00592580"/>
    <w:rsid w:val="005941CE"/>
    <w:rsid w:val="00594DEA"/>
    <w:rsid w:val="005B4E6B"/>
    <w:rsid w:val="005B6769"/>
    <w:rsid w:val="005C2277"/>
    <w:rsid w:val="005C2FBA"/>
    <w:rsid w:val="005C3657"/>
    <w:rsid w:val="005C792D"/>
    <w:rsid w:val="005D00E3"/>
    <w:rsid w:val="005D16CB"/>
    <w:rsid w:val="005D2B38"/>
    <w:rsid w:val="005D4EA9"/>
    <w:rsid w:val="005E18DF"/>
    <w:rsid w:val="005E1F18"/>
    <w:rsid w:val="005E2EDF"/>
    <w:rsid w:val="005E753C"/>
    <w:rsid w:val="005E79E5"/>
    <w:rsid w:val="005F0564"/>
    <w:rsid w:val="005F3FC7"/>
    <w:rsid w:val="005F55CE"/>
    <w:rsid w:val="006000A2"/>
    <w:rsid w:val="00601F98"/>
    <w:rsid w:val="00605889"/>
    <w:rsid w:val="00615188"/>
    <w:rsid w:val="006208F0"/>
    <w:rsid w:val="00621C57"/>
    <w:rsid w:val="00630F50"/>
    <w:rsid w:val="006317B6"/>
    <w:rsid w:val="00631D8B"/>
    <w:rsid w:val="00632160"/>
    <w:rsid w:val="00632971"/>
    <w:rsid w:val="00637DB1"/>
    <w:rsid w:val="006428D6"/>
    <w:rsid w:val="00643AC8"/>
    <w:rsid w:val="006442F6"/>
    <w:rsid w:val="00646D63"/>
    <w:rsid w:val="00650DAF"/>
    <w:rsid w:val="006530E1"/>
    <w:rsid w:val="0065592A"/>
    <w:rsid w:val="00657680"/>
    <w:rsid w:val="00660EE1"/>
    <w:rsid w:val="0066428D"/>
    <w:rsid w:val="006648CD"/>
    <w:rsid w:val="00675317"/>
    <w:rsid w:val="006756D2"/>
    <w:rsid w:val="00681252"/>
    <w:rsid w:val="00684251"/>
    <w:rsid w:val="00685BF5"/>
    <w:rsid w:val="00693DDE"/>
    <w:rsid w:val="006A4F1B"/>
    <w:rsid w:val="006A65F6"/>
    <w:rsid w:val="006C1112"/>
    <w:rsid w:val="006C30AB"/>
    <w:rsid w:val="006C374B"/>
    <w:rsid w:val="006C55E1"/>
    <w:rsid w:val="006D2B71"/>
    <w:rsid w:val="006D3507"/>
    <w:rsid w:val="006D5A40"/>
    <w:rsid w:val="006E16EA"/>
    <w:rsid w:val="006E1BAB"/>
    <w:rsid w:val="006E3F73"/>
    <w:rsid w:val="006E540E"/>
    <w:rsid w:val="006E7779"/>
    <w:rsid w:val="006F1062"/>
    <w:rsid w:val="006F54F8"/>
    <w:rsid w:val="0070654C"/>
    <w:rsid w:val="0070656F"/>
    <w:rsid w:val="0071051E"/>
    <w:rsid w:val="0071687A"/>
    <w:rsid w:val="00720167"/>
    <w:rsid w:val="007211FB"/>
    <w:rsid w:val="00721ABA"/>
    <w:rsid w:val="00721B75"/>
    <w:rsid w:val="00723547"/>
    <w:rsid w:val="00731926"/>
    <w:rsid w:val="00735E98"/>
    <w:rsid w:val="0073628A"/>
    <w:rsid w:val="007429EF"/>
    <w:rsid w:val="007456D0"/>
    <w:rsid w:val="0074744C"/>
    <w:rsid w:val="00750C11"/>
    <w:rsid w:val="00750ECF"/>
    <w:rsid w:val="0075403C"/>
    <w:rsid w:val="007566A9"/>
    <w:rsid w:val="00756CE6"/>
    <w:rsid w:val="007573EA"/>
    <w:rsid w:val="007656F3"/>
    <w:rsid w:val="00766875"/>
    <w:rsid w:val="00767313"/>
    <w:rsid w:val="00770215"/>
    <w:rsid w:val="007762E1"/>
    <w:rsid w:val="00792E54"/>
    <w:rsid w:val="007932D9"/>
    <w:rsid w:val="007A02E5"/>
    <w:rsid w:val="007A18CA"/>
    <w:rsid w:val="007A2367"/>
    <w:rsid w:val="007A2BC6"/>
    <w:rsid w:val="007A459E"/>
    <w:rsid w:val="007A7174"/>
    <w:rsid w:val="007B0297"/>
    <w:rsid w:val="007B0666"/>
    <w:rsid w:val="007B348E"/>
    <w:rsid w:val="007B5731"/>
    <w:rsid w:val="007C0241"/>
    <w:rsid w:val="007C1AD3"/>
    <w:rsid w:val="007C1F12"/>
    <w:rsid w:val="007C40A7"/>
    <w:rsid w:val="007D182B"/>
    <w:rsid w:val="007D5539"/>
    <w:rsid w:val="007D79F1"/>
    <w:rsid w:val="007E0E9F"/>
    <w:rsid w:val="007E5822"/>
    <w:rsid w:val="007E6B3A"/>
    <w:rsid w:val="007E6DF1"/>
    <w:rsid w:val="007E7399"/>
    <w:rsid w:val="007F06D4"/>
    <w:rsid w:val="007F0D6D"/>
    <w:rsid w:val="007F0E87"/>
    <w:rsid w:val="008025FB"/>
    <w:rsid w:val="00813FA4"/>
    <w:rsid w:val="0081763C"/>
    <w:rsid w:val="00820917"/>
    <w:rsid w:val="0082376D"/>
    <w:rsid w:val="00823A48"/>
    <w:rsid w:val="00832264"/>
    <w:rsid w:val="00833B50"/>
    <w:rsid w:val="008345A5"/>
    <w:rsid w:val="0083470D"/>
    <w:rsid w:val="00835720"/>
    <w:rsid w:val="00853CAB"/>
    <w:rsid w:val="00853CDB"/>
    <w:rsid w:val="008547A4"/>
    <w:rsid w:val="00854E12"/>
    <w:rsid w:val="00857A15"/>
    <w:rsid w:val="00861381"/>
    <w:rsid w:val="008673BD"/>
    <w:rsid w:val="00873CF7"/>
    <w:rsid w:val="00875144"/>
    <w:rsid w:val="0087590E"/>
    <w:rsid w:val="00875C00"/>
    <w:rsid w:val="00881258"/>
    <w:rsid w:val="00881D51"/>
    <w:rsid w:val="00883522"/>
    <w:rsid w:val="008900A0"/>
    <w:rsid w:val="008904DB"/>
    <w:rsid w:val="00891ED8"/>
    <w:rsid w:val="008955CA"/>
    <w:rsid w:val="008A2FA3"/>
    <w:rsid w:val="008A3472"/>
    <w:rsid w:val="008A697D"/>
    <w:rsid w:val="008B0651"/>
    <w:rsid w:val="008B18A9"/>
    <w:rsid w:val="008B30EF"/>
    <w:rsid w:val="008C246E"/>
    <w:rsid w:val="008D6FCA"/>
    <w:rsid w:val="008E2ADE"/>
    <w:rsid w:val="008E4946"/>
    <w:rsid w:val="008F4534"/>
    <w:rsid w:val="008F7223"/>
    <w:rsid w:val="00903F8E"/>
    <w:rsid w:val="0091579A"/>
    <w:rsid w:val="00925073"/>
    <w:rsid w:val="00935269"/>
    <w:rsid w:val="0094032E"/>
    <w:rsid w:val="0094040F"/>
    <w:rsid w:val="009432D2"/>
    <w:rsid w:val="00943EC8"/>
    <w:rsid w:val="0096022D"/>
    <w:rsid w:val="00960FA5"/>
    <w:rsid w:val="009627D7"/>
    <w:rsid w:val="00962C48"/>
    <w:rsid w:val="00964F96"/>
    <w:rsid w:val="009672F0"/>
    <w:rsid w:val="009721D6"/>
    <w:rsid w:val="009808D5"/>
    <w:rsid w:val="00981793"/>
    <w:rsid w:val="00982A87"/>
    <w:rsid w:val="00983334"/>
    <w:rsid w:val="0098419D"/>
    <w:rsid w:val="0098618A"/>
    <w:rsid w:val="00996624"/>
    <w:rsid w:val="0099703F"/>
    <w:rsid w:val="009A5185"/>
    <w:rsid w:val="009A536A"/>
    <w:rsid w:val="009A67C4"/>
    <w:rsid w:val="009B1829"/>
    <w:rsid w:val="009B3FF8"/>
    <w:rsid w:val="009C06B6"/>
    <w:rsid w:val="009C145A"/>
    <w:rsid w:val="009C7DFB"/>
    <w:rsid w:val="009D4CDC"/>
    <w:rsid w:val="009D6A29"/>
    <w:rsid w:val="009E035D"/>
    <w:rsid w:val="009E4AA4"/>
    <w:rsid w:val="009E658E"/>
    <w:rsid w:val="009F0B4E"/>
    <w:rsid w:val="009F6902"/>
    <w:rsid w:val="00A05337"/>
    <w:rsid w:val="00A07743"/>
    <w:rsid w:val="00A15E2E"/>
    <w:rsid w:val="00A254CC"/>
    <w:rsid w:val="00A26B85"/>
    <w:rsid w:val="00A322C0"/>
    <w:rsid w:val="00A32F34"/>
    <w:rsid w:val="00A35B13"/>
    <w:rsid w:val="00A36CC4"/>
    <w:rsid w:val="00A4525F"/>
    <w:rsid w:val="00A64E95"/>
    <w:rsid w:val="00A70B4C"/>
    <w:rsid w:val="00A80186"/>
    <w:rsid w:val="00A814FB"/>
    <w:rsid w:val="00A84198"/>
    <w:rsid w:val="00A848EE"/>
    <w:rsid w:val="00A84C8C"/>
    <w:rsid w:val="00A9469C"/>
    <w:rsid w:val="00A94A6C"/>
    <w:rsid w:val="00AA08CF"/>
    <w:rsid w:val="00AA136D"/>
    <w:rsid w:val="00AA1391"/>
    <w:rsid w:val="00AA374A"/>
    <w:rsid w:val="00AA600C"/>
    <w:rsid w:val="00AA7606"/>
    <w:rsid w:val="00AA7B29"/>
    <w:rsid w:val="00AB02EE"/>
    <w:rsid w:val="00AB25D3"/>
    <w:rsid w:val="00AB5A87"/>
    <w:rsid w:val="00AB5AB2"/>
    <w:rsid w:val="00AC7067"/>
    <w:rsid w:val="00AD09F0"/>
    <w:rsid w:val="00AD1105"/>
    <w:rsid w:val="00AD1F02"/>
    <w:rsid w:val="00AE0B00"/>
    <w:rsid w:val="00AE40CA"/>
    <w:rsid w:val="00AE53AF"/>
    <w:rsid w:val="00AE5886"/>
    <w:rsid w:val="00AE6432"/>
    <w:rsid w:val="00AE7CA1"/>
    <w:rsid w:val="00AF283E"/>
    <w:rsid w:val="00AF6EAD"/>
    <w:rsid w:val="00AF7602"/>
    <w:rsid w:val="00B03B8F"/>
    <w:rsid w:val="00B03F57"/>
    <w:rsid w:val="00B15BF5"/>
    <w:rsid w:val="00B1608B"/>
    <w:rsid w:val="00B21369"/>
    <w:rsid w:val="00B21E02"/>
    <w:rsid w:val="00B31338"/>
    <w:rsid w:val="00B34A3C"/>
    <w:rsid w:val="00B40476"/>
    <w:rsid w:val="00B40481"/>
    <w:rsid w:val="00B43EE9"/>
    <w:rsid w:val="00B449C9"/>
    <w:rsid w:val="00B45681"/>
    <w:rsid w:val="00B53BC1"/>
    <w:rsid w:val="00B56809"/>
    <w:rsid w:val="00B56B7F"/>
    <w:rsid w:val="00B5776C"/>
    <w:rsid w:val="00B62E81"/>
    <w:rsid w:val="00B646DE"/>
    <w:rsid w:val="00B64CD8"/>
    <w:rsid w:val="00B65237"/>
    <w:rsid w:val="00B6630E"/>
    <w:rsid w:val="00B73B97"/>
    <w:rsid w:val="00B8338C"/>
    <w:rsid w:val="00B92F18"/>
    <w:rsid w:val="00B95066"/>
    <w:rsid w:val="00BA0831"/>
    <w:rsid w:val="00BA0EDE"/>
    <w:rsid w:val="00BA34CE"/>
    <w:rsid w:val="00BA5109"/>
    <w:rsid w:val="00BB18DC"/>
    <w:rsid w:val="00BB2A3C"/>
    <w:rsid w:val="00BB42F1"/>
    <w:rsid w:val="00BB4A2A"/>
    <w:rsid w:val="00BC0E97"/>
    <w:rsid w:val="00BC3C83"/>
    <w:rsid w:val="00BC3EB7"/>
    <w:rsid w:val="00BC7A76"/>
    <w:rsid w:val="00BD4FEC"/>
    <w:rsid w:val="00BD69E4"/>
    <w:rsid w:val="00BF190F"/>
    <w:rsid w:val="00BF527A"/>
    <w:rsid w:val="00C04D7D"/>
    <w:rsid w:val="00C0650B"/>
    <w:rsid w:val="00C06E98"/>
    <w:rsid w:val="00C24D08"/>
    <w:rsid w:val="00C2549F"/>
    <w:rsid w:val="00C27C5B"/>
    <w:rsid w:val="00C31F28"/>
    <w:rsid w:val="00C3433E"/>
    <w:rsid w:val="00C346E6"/>
    <w:rsid w:val="00C35687"/>
    <w:rsid w:val="00C448E5"/>
    <w:rsid w:val="00C464E8"/>
    <w:rsid w:val="00C550D1"/>
    <w:rsid w:val="00C55838"/>
    <w:rsid w:val="00C63077"/>
    <w:rsid w:val="00C709B8"/>
    <w:rsid w:val="00C71868"/>
    <w:rsid w:val="00C7210B"/>
    <w:rsid w:val="00C740EA"/>
    <w:rsid w:val="00C74A93"/>
    <w:rsid w:val="00C758BA"/>
    <w:rsid w:val="00C80C31"/>
    <w:rsid w:val="00C818EA"/>
    <w:rsid w:val="00C859C7"/>
    <w:rsid w:val="00C94B90"/>
    <w:rsid w:val="00CA04CC"/>
    <w:rsid w:val="00CA050F"/>
    <w:rsid w:val="00CA71F8"/>
    <w:rsid w:val="00CC50BC"/>
    <w:rsid w:val="00CC5529"/>
    <w:rsid w:val="00CC7217"/>
    <w:rsid w:val="00CC7542"/>
    <w:rsid w:val="00CD51D9"/>
    <w:rsid w:val="00CE09F1"/>
    <w:rsid w:val="00CE1E46"/>
    <w:rsid w:val="00CE539B"/>
    <w:rsid w:val="00CF14B6"/>
    <w:rsid w:val="00CF241E"/>
    <w:rsid w:val="00D04B7B"/>
    <w:rsid w:val="00D056F4"/>
    <w:rsid w:val="00D07872"/>
    <w:rsid w:val="00D10234"/>
    <w:rsid w:val="00D24976"/>
    <w:rsid w:val="00D253DA"/>
    <w:rsid w:val="00D25B5C"/>
    <w:rsid w:val="00D4154F"/>
    <w:rsid w:val="00D42632"/>
    <w:rsid w:val="00D47687"/>
    <w:rsid w:val="00D5032E"/>
    <w:rsid w:val="00D54AC6"/>
    <w:rsid w:val="00D56576"/>
    <w:rsid w:val="00D57854"/>
    <w:rsid w:val="00D6358E"/>
    <w:rsid w:val="00D65E1B"/>
    <w:rsid w:val="00D6724F"/>
    <w:rsid w:val="00D7014D"/>
    <w:rsid w:val="00D743AD"/>
    <w:rsid w:val="00D83331"/>
    <w:rsid w:val="00D90889"/>
    <w:rsid w:val="00D9207C"/>
    <w:rsid w:val="00D94562"/>
    <w:rsid w:val="00D96F0C"/>
    <w:rsid w:val="00DA467B"/>
    <w:rsid w:val="00DA6D21"/>
    <w:rsid w:val="00DA7C0C"/>
    <w:rsid w:val="00DB2512"/>
    <w:rsid w:val="00DB721D"/>
    <w:rsid w:val="00DC2E6A"/>
    <w:rsid w:val="00DC5D38"/>
    <w:rsid w:val="00DC7BB2"/>
    <w:rsid w:val="00DC7DE3"/>
    <w:rsid w:val="00DE5F71"/>
    <w:rsid w:val="00DF056A"/>
    <w:rsid w:val="00DF1B48"/>
    <w:rsid w:val="00E00341"/>
    <w:rsid w:val="00E02248"/>
    <w:rsid w:val="00E03AA3"/>
    <w:rsid w:val="00E077A5"/>
    <w:rsid w:val="00E177DA"/>
    <w:rsid w:val="00E2136A"/>
    <w:rsid w:val="00E230C5"/>
    <w:rsid w:val="00E24DD9"/>
    <w:rsid w:val="00E2603C"/>
    <w:rsid w:val="00E26396"/>
    <w:rsid w:val="00E271D8"/>
    <w:rsid w:val="00E27F2B"/>
    <w:rsid w:val="00E352A2"/>
    <w:rsid w:val="00E44406"/>
    <w:rsid w:val="00E44C60"/>
    <w:rsid w:val="00E50690"/>
    <w:rsid w:val="00E52EC0"/>
    <w:rsid w:val="00E56235"/>
    <w:rsid w:val="00E615D1"/>
    <w:rsid w:val="00E61E98"/>
    <w:rsid w:val="00E63631"/>
    <w:rsid w:val="00E6582B"/>
    <w:rsid w:val="00E70C8A"/>
    <w:rsid w:val="00E72B6C"/>
    <w:rsid w:val="00E7342E"/>
    <w:rsid w:val="00E75D1F"/>
    <w:rsid w:val="00E76E71"/>
    <w:rsid w:val="00E82101"/>
    <w:rsid w:val="00E8312A"/>
    <w:rsid w:val="00E86476"/>
    <w:rsid w:val="00E9001C"/>
    <w:rsid w:val="00EA1B6C"/>
    <w:rsid w:val="00EA254F"/>
    <w:rsid w:val="00EB5041"/>
    <w:rsid w:val="00EB6812"/>
    <w:rsid w:val="00EC28AD"/>
    <w:rsid w:val="00ED42CB"/>
    <w:rsid w:val="00ED47B3"/>
    <w:rsid w:val="00ED6E7B"/>
    <w:rsid w:val="00EF3878"/>
    <w:rsid w:val="00EF3A8E"/>
    <w:rsid w:val="00EF5683"/>
    <w:rsid w:val="00F02692"/>
    <w:rsid w:val="00F04535"/>
    <w:rsid w:val="00F11475"/>
    <w:rsid w:val="00F11777"/>
    <w:rsid w:val="00F120BA"/>
    <w:rsid w:val="00F237FA"/>
    <w:rsid w:val="00F30E8E"/>
    <w:rsid w:val="00F34141"/>
    <w:rsid w:val="00F450F9"/>
    <w:rsid w:val="00F45977"/>
    <w:rsid w:val="00F50D1B"/>
    <w:rsid w:val="00F513D7"/>
    <w:rsid w:val="00F5399F"/>
    <w:rsid w:val="00F6022F"/>
    <w:rsid w:val="00F703CB"/>
    <w:rsid w:val="00F7119C"/>
    <w:rsid w:val="00F775B9"/>
    <w:rsid w:val="00F80721"/>
    <w:rsid w:val="00F8091E"/>
    <w:rsid w:val="00F819AD"/>
    <w:rsid w:val="00F84A9C"/>
    <w:rsid w:val="00FA466F"/>
    <w:rsid w:val="00FA4B4E"/>
    <w:rsid w:val="00FB077A"/>
    <w:rsid w:val="00FB0FB3"/>
    <w:rsid w:val="00FB1574"/>
    <w:rsid w:val="00FC1143"/>
    <w:rsid w:val="00FC46A8"/>
    <w:rsid w:val="00FC67EE"/>
    <w:rsid w:val="00FC7A99"/>
    <w:rsid w:val="00FD0AAC"/>
    <w:rsid w:val="00FD5C38"/>
    <w:rsid w:val="00FE06D6"/>
    <w:rsid w:val="00FE1FE8"/>
    <w:rsid w:val="00FE2851"/>
    <w:rsid w:val="00FE4276"/>
    <w:rsid w:val="00FF038A"/>
    <w:rsid w:val="00FF547C"/>
    <w:rsid w:val="01932D12"/>
    <w:rsid w:val="0866B432"/>
    <w:rsid w:val="1D579C89"/>
    <w:rsid w:val="2158FC1B"/>
    <w:rsid w:val="25A7357F"/>
    <w:rsid w:val="27D1742B"/>
    <w:rsid w:val="2B48DD89"/>
    <w:rsid w:val="2C536D28"/>
    <w:rsid w:val="2EABCB77"/>
    <w:rsid w:val="304F8138"/>
    <w:rsid w:val="31E87F94"/>
    <w:rsid w:val="33C3C3AB"/>
    <w:rsid w:val="3660CC5C"/>
    <w:rsid w:val="3DA4B1A1"/>
    <w:rsid w:val="52406DF3"/>
    <w:rsid w:val="52AF5865"/>
    <w:rsid w:val="573AB603"/>
    <w:rsid w:val="5BED69C2"/>
    <w:rsid w:val="5D1D2CF0"/>
    <w:rsid w:val="5DC7503D"/>
    <w:rsid w:val="5E7F3548"/>
    <w:rsid w:val="60D229CF"/>
    <w:rsid w:val="60F26DF0"/>
    <w:rsid w:val="62AAFDA4"/>
    <w:rsid w:val="6A38DC44"/>
    <w:rsid w:val="6CCD0C7C"/>
    <w:rsid w:val="6EAB5542"/>
    <w:rsid w:val="745D663C"/>
    <w:rsid w:val="793FBFEC"/>
    <w:rsid w:val="79A3D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87C2"/>
  <w15:chartTrackingRefBased/>
  <w15:docId w15:val="{A4DB7186-19DB-4255-A623-5ADF2D7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4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0B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20BA"/>
  </w:style>
  <w:style w:type="character" w:customStyle="1" w:styleId="eop">
    <w:name w:val="eop"/>
    <w:basedOn w:val="DefaultParagraphFont"/>
    <w:rsid w:val="00F120BA"/>
  </w:style>
  <w:style w:type="character" w:styleId="Hyperlink">
    <w:name w:val="Hyperlink"/>
    <w:basedOn w:val="DefaultParagraphFont"/>
    <w:uiPriority w:val="99"/>
    <w:unhideWhenUsed/>
    <w:rsid w:val="003B0ABF"/>
    <w:rPr>
      <w:color w:val="0563C1" w:themeColor="hyperlink"/>
      <w:u w:val="single"/>
    </w:rPr>
  </w:style>
  <w:style w:type="character" w:styleId="FollowedHyperlink">
    <w:name w:val="FollowedHyperlink"/>
    <w:basedOn w:val="DefaultParagraphFont"/>
    <w:uiPriority w:val="99"/>
    <w:semiHidden/>
    <w:unhideWhenUsed/>
    <w:rsid w:val="007656F3"/>
    <w:rPr>
      <w:color w:val="954F72" w:themeColor="followedHyperlink"/>
      <w:u w:val="single"/>
    </w:rPr>
  </w:style>
  <w:style w:type="paragraph" w:styleId="Caption">
    <w:name w:val="caption"/>
    <w:basedOn w:val="Normal"/>
    <w:next w:val="Normal"/>
    <w:uiPriority w:val="35"/>
    <w:unhideWhenUsed/>
    <w:qFormat/>
    <w:rsid w:val="005748F6"/>
    <w:pPr>
      <w:spacing w:after="200" w:line="240" w:lineRule="auto"/>
    </w:pPr>
    <w:rPr>
      <w:i/>
      <w:iCs/>
      <w:color w:val="44546A" w:themeColor="text2"/>
      <w:sz w:val="18"/>
      <w:szCs w:val="18"/>
    </w:rPr>
  </w:style>
  <w:style w:type="paragraph" w:styleId="ListParagraph">
    <w:name w:val="List Paragraph"/>
    <w:basedOn w:val="Normal"/>
    <w:uiPriority w:val="34"/>
    <w:qFormat/>
    <w:rsid w:val="008A3472"/>
    <w:pPr>
      <w:ind w:left="720"/>
      <w:contextualSpacing/>
    </w:pPr>
  </w:style>
  <w:style w:type="table" w:styleId="TableGrid">
    <w:name w:val="Table Grid"/>
    <w:basedOn w:val="TableNormal"/>
    <w:uiPriority w:val="39"/>
    <w:rsid w:val="009E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64E8"/>
  </w:style>
  <w:style w:type="table" w:styleId="PlainTable1">
    <w:name w:val="Plain Table 1"/>
    <w:basedOn w:val="TableNormal"/>
    <w:uiPriority w:val="41"/>
    <w:rsid w:val="008E49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5522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E177D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19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F6"/>
  </w:style>
  <w:style w:type="paragraph" w:styleId="Footer">
    <w:name w:val="footer"/>
    <w:basedOn w:val="Normal"/>
    <w:link w:val="FooterChar"/>
    <w:uiPriority w:val="99"/>
    <w:unhideWhenUsed/>
    <w:rsid w:val="0019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F6"/>
  </w:style>
  <w:style w:type="character" w:customStyle="1" w:styleId="Heading1Char">
    <w:name w:val="Heading 1 Char"/>
    <w:basedOn w:val="DefaultParagraphFont"/>
    <w:link w:val="Heading1"/>
    <w:uiPriority w:val="9"/>
    <w:rsid w:val="00D54A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2A19"/>
    <w:pPr>
      <w:spacing w:after="0" w:line="240" w:lineRule="auto"/>
    </w:pPr>
  </w:style>
  <w:style w:type="paragraph" w:styleId="EndnoteText">
    <w:name w:val="endnote text"/>
    <w:basedOn w:val="Normal"/>
    <w:link w:val="EndnoteTextChar"/>
    <w:uiPriority w:val="99"/>
    <w:semiHidden/>
    <w:unhideWhenUsed/>
    <w:rsid w:val="003C2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A19"/>
    <w:rPr>
      <w:sz w:val="20"/>
      <w:szCs w:val="20"/>
    </w:rPr>
  </w:style>
  <w:style w:type="character" w:styleId="EndnoteReference">
    <w:name w:val="endnote reference"/>
    <w:basedOn w:val="DefaultParagraphFont"/>
    <w:uiPriority w:val="99"/>
    <w:semiHidden/>
    <w:unhideWhenUsed/>
    <w:rsid w:val="003C2A19"/>
    <w:rPr>
      <w:vertAlign w:val="superscript"/>
    </w:rPr>
  </w:style>
  <w:style w:type="paragraph" w:styleId="FootnoteText">
    <w:name w:val="footnote text"/>
    <w:basedOn w:val="Normal"/>
    <w:link w:val="FootnoteTextChar"/>
    <w:uiPriority w:val="99"/>
    <w:unhideWhenUsed/>
    <w:rsid w:val="003C2A1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C2A19"/>
    <w:rPr>
      <w:sz w:val="20"/>
      <w:szCs w:val="20"/>
    </w:rPr>
  </w:style>
  <w:style w:type="character" w:styleId="FootnoteReference">
    <w:name w:val="footnote reference"/>
    <w:basedOn w:val="DefaultParagraphFont"/>
    <w:uiPriority w:val="99"/>
    <w:unhideWhenUsed/>
    <w:rsid w:val="003C2A19"/>
    <w:rPr>
      <w:vertAlign w:val="superscript"/>
    </w:rPr>
  </w:style>
  <w:style w:type="character" w:customStyle="1" w:styleId="InternetLink">
    <w:name w:val="Internet Link"/>
    <w:basedOn w:val="DefaultParagraphFont"/>
    <w:uiPriority w:val="99"/>
    <w:unhideWhenUsed/>
    <w:rsid w:val="003C2A19"/>
    <w:rPr>
      <w:color w:val="0000FF"/>
      <w:u w:val="single"/>
    </w:rPr>
  </w:style>
  <w:style w:type="character" w:styleId="CommentReference">
    <w:name w:val="annotation reference"/>
    <w:basedOn w:val="DefaultParagraphFont"/>
    <w:uiPriority w:val="99"/>
    <w:semiHidden/>
    <w:unhideWhenUsed/>
    <w:rsid w:val="00903F8E"/>
    <w:rPr>
      <w:sz w:val="16"/>
      <w:szCs w:val="16"/>
    </w:rPr>
  </w:style>
  <w:style w:type="paragraph" w:styleId="CommentText">
    <w:name w:val="annotation text"/>
    <w:basedOn w:val="Normal"/>
    <w:link w:val="CommentTextChar"/>
    <w:uiPriority w:val="99"/>
    <w:semiHidden/>
    <w:unhideWhenUsed/>
    <w:rsid w:val="00903F8E"/>
    <w:pPr>
      <w:spacing w:line="240" w:lineRule="auto"/>
    </w:pPr>
    <w:rPr>
      <w:sz w:val="20"/>
      <w:szCs w:val="20"/>
    </w:rPr>
  </w:style>
  <w:style w:type="character" w:customStyle="1" w:styleId="CommentTextChar">
    <w:name w:val="Comment Text Char"/>
    <w:basedOn w:val="DefaultParagraphFont"/>
    <w:link w:val="CommentText"/>
    <w:uiPriority w:val="99"/>
    <w:semiHidden/>
    <w:rsid w:val="00903F8E"/>
    <w:rPr>
      <w:sz w:val="20"/>
      <w:szCs w:val="20"/>
    </w:rPr>
  </w:style>
  <w:style w:type="paragraph" w:styleId="CommentSubject">
    <w:name w:val="annotation subject"/>
    <w:basedOn w:val="CommentText"/>
    <w:next w:val="CommentText"/>
    <w:link w:val="CommentSubjectChar"/>
    <w:uiPriority w:val="99"/>
    <w:semiHidden/>
    <w:unhideWhenUsed/>
    <w:rsid w:val="00903F8E"/>
    <w:rPr>
      <w:b/>
      <w:bCs/>
    </w:rPr>
  </w:style>
  <w:style w:type="character" w:customStyle="1" w:styleId="CommentSubjectChar">
    <w:name w:val="Comment Subject Char"/>
    <w:basedOn w:val="CommentTextChar"/>
    <w:link w:val="CommentSubject"/>
    <w:uiPriority w:val="99"/>
    <w:semiHidden/>
    <w:rsid w:val="00903F8E"/>
    <w:rPr>
      <w:b/>
      <w:bCs/>
      <w:sz w:val="20"/>
      <w:szCs w:val="20"/>
    </w:rPr>
  </w:style>
  <w:style w:type="paragraph" w:styleId="BalloonText">
    <w:name w:val="Balloon Text"/>
    <w:basedOn w:val="Normal"/>
    <w:link w:val="BalloonTextChar"/>
    <w:uiPriority w:val="99"/>
    <w:semiHidden/>
    <w:unhideWhenUsed/>
    <w:rsid w:val="0090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5D1F"/>
    <w:rPr>
      <w:color w:val="605E5C"/>
      <w:shd w:val="clear" w:color="auto" w:fill="E1DFDD"/>
    </w:rPr>
  </w:style>
  <w:style w:type="character" w:styleId="UnresolvedMention">
    <w:name w:val="Unresolved Mention"/>
    <w:basedOn w:val="DefaultParagraphFont"/>
    <w:uiPriority w:val="99"/>
    <w:semiHidden/>
    <w:unhideWhenUsed/>
    <w:rsid w:val="0039015A"/>
    <w:rPr>
      <w:color w:val="808080"/>
      <w:shd w:val="clear" w:color="auto" w:fill="E6E6E6"/>
    </w:rPr>
  </w:style>
  <w:style w:type="paragraph" w:styleId="NormalWeb">
    <w:name w:val="Normal (Web)"/>
    <w:basedOn w:val="Normal"/>
    <w:uiPriority w:val="99"/>
    <w:unhideWhenUsed/>
    <w:rsid w:val="00854E1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396700"/>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9721D6"/>
    <w:rPr>
      <w:smallCaps/>
      <w:color w:val="ED7D31" w:themeColor="accent2"/>
      <w:u w:val="single"/>
    </w:rPr>
  </w:style>
  <w:style w:type="paragraph" w:customStyle="1" w:styleId="Default">
    <w:name w:val="Default"/>
    <w:rsid w:val="009721D6"/>
    <w:pPr>
      <w:autoSpaceDE w:val="0"/>
      <w:autoSpaceDN w:val="0"/>
      <w:adjustRightInd w:val="0"/>
      <w:spacing w:after="0" w:line="240" w:lineRule="auto"/>
    </w:pPr>
    <w:rPr>
      <w:rFonts w:ascii="Franklin Gothic Book" w:eastAsia="MS PMincho" w:hAnsi="Franklin Gothic Book" w:cs="Franklin Gothic Book"/>
      <w:color w:val="000000"/>
      <w:sz w:val="24"/>
      <w:szCs w:val="24"/>
    </w:rPr>
  </w:style>
  <w:style w:type="character" w:customStyle="1" w:styleId="Heading3Char">
    <w:name w:val="Heading 3 Char"/>
    <w:basedOn w:val="DefaultParagraphFont"/>
    <w:link w:val="Heading3"/>
    <w:uiPriority w:val="9"/>
    <w:semiHidden/>
    <w:rsid w:val="0001147E"/>
    <w:rPr>
      <w:rFonts w:asciiTheme="majorHAnsi" w:eastAsiaTheme="majorEastAsia" w:hAnsiTheme="majorHAnsi" w:cstheme="majorBidi"/>
      <w:color w:val="1F3763" w:themeColor="accent1" w:themeShade="7F"/>
      <w:sz w:val="24"/>
      <w:szCs w:val="24"/>
    </w:rPr>
  </w:style>
  <w:style w:type="character" w:styleId="IntenseReference">
    <w:name w:val="Intense Reference"/>
    <w:uiPriority w:val="32"/>
    <w:qFormat/>
    <w:rsid w:val="0001147E"/>
    <w:rPr>
      <w:b/>
      <w:bCs/>
      <w:smallCaps/>
      <w:color w:val="ED7D31" w:themeColor="accent2"/>
      <w:spacing w:val="5"/>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8059">
      <w:bodyDiv w:val="1"/>
      <w:marLeft w:val="0"/>
      <w:marRight w:val="0"/>
      <w:marTop w:val="0"/>
      <w:marBottom w:val="0"/>
      <w:divBdr>
        <w:top w:val="none" w:sz="0" w:space="0" w:color="auto"/>
        <w:left w:val="none" w:sz="0" w:space="0" w:color="auto"/>
        <w:bottom w:val="none" w:sz="0" w:space="0" w:color="auto"/>
        <w:right w:val="none" w:sz="0" w:space="0" w:color="auto"/>
      </w:divBdr>
    </w:div>
    <w:div w:id="497422898">
      <w:bodyDiv w:val="1"/>
      <w:marLeft w:val="0"/>
      <w:marRight w:val="0"/>
      <w:marTop w:val="0"/>
      <w:marBottom w:val="0"/>
      <w:divBdr>
        <w:top w:val="none" w:sz="0" w:space="0" w:color="auto"/>
        <w:left w:val="none" w:sz="0" w:space="0" w:color="auto"/>
        <w:bottom w:val="none" w:sz="0" w:space="0" w:color="auto"/>
        <w:right w:val="none" w:sz="0" w:space="0" w:color="auto"/>
      </w:divBdr>
    </w:div>
    <w:div w:id="675232808">
      <w:bodyDiv w:val="1"/>
      <w:marLeft w:val="0"/>
      <w:marRight w:val="0"/>
      <w:marTop w:val="0"/>
      <w:marBottom w:val="0"/>
      <w:divBdr>
        <w:top w:val="none" w:sz="0" w:space="0" w:color="auto"/>
        <w:left w:val="none" w:sz="0" w:space="0" w:color="auto"/>
        <w:bottom w:val="none" w:sz="0" w:space="0" w:color="auto"/>
        <w:right w:val="none" w:sz="0" w:space="0" w:color="auto"/>
      </w:divBdr>
      <w:divsChild>
        <w:div w:id="2095466599">
          <w:marLeft w:val="0"/>
          <w:marRight w:val="0"/>
          <w:marTop w:val="0"/>
          <w:marBottom w:val="0"/>
          <w:divBdr>
            <w:top w:val="none" w:sz="0" w:space="0" w:color="auto"/>
            <w:left w:val="none" w:sz="0" w:space="0" w:color="auto"/>
            <w:bottom w:val="none" w:sz="0" w:space="0" w:color="auto"/>
            <w:right w:val="none" w:sz="0" w:space="0" w:color="auto"/>
          </w:divBdr>
          <w:divsChild>
            <w:div w:id="1485196974">
              <w:marLeft w:val="0"/>
              <w:marRight w:val="0"/>
              <w:marTop w:val="0"/>
              <w:marBottom w:val="0"/>
              <w:divBdr>
                <w:top w:val="none" w:sz="0" w:space="0" w:color="auto"/>
                <w:left w:val="none" w:sz="0" w:space="0" w:color="auto"/>
                <w:bottom w:val="none" w:sz="0" w:space="0" w:color="auto"/>
                <w:right w:val="none" w:sz="0" w:space="0" w:color="auto"/>
              </w:divBdr>
              <w:divsChild>
                <w:div w:id="619839844">
                  <w:marLeft w:val="0"/>
                  <w:marRight w:val="0"/>
                  <w:marTop w:val="0"/>
                  <w:marBottom w:val="0"/>
                  <w:divBdr>
                    <w:top w:val="none" w:sz="0" w:space="0" w:color="auto"/>
                    <w:left w:val="none" w:sz="0" w:space="0" w:color="auto"/>
                    <w:bottom w:val="none" w:sz="0" w:space="0" w:color="auto"/>
                    <w:right w:val="none" w:sz="0" w:space="0" w:color="auto"/>
                  </w:divBdr>
                  <w:divsChild>
                    <w:div w:id="1463039468">
                      <w:marLeft w:val="0"/>
                      <w:marRight w:val="0"/>
                      <w:marTop w:val="0"/>
                      <w:marBottom w:val="0"/>
                      <w:divBdr>
                        <w:top w:val="none" w:sz="0" w:space="0" w:color="auto"/>
                        <w:left w:val="none" w:sz="0" w:space="0" w:color="auto"/>
                        <w:bottom w:val="none" w:sz="0" w:space="0" w:color="auto"/>
                        <w:right w:val="none" w:sz="0" w:space="0" w:color="auto"/>
                      </w:divBdr>
                      <w:divsChild>
                        <w:div w:id="379944954">
                          <w:marLeft w:val="0"/>
                          <w:marRight w:val="0"/>
                          <w:marTop w:val="0"/>
                          <w:marBottom w:val="0"/>
                          <w:divBdr>
                            <w:top w:val="none" w:sz="0" w:space="0" w:color="auto"/>
                            <w:left w:val="none" w:sz="0" w:space="0" w:color="auto"/>
                            <w:bottom w:val="none" w:sz="0" w:space="0" w:color="auto"/>
                            <w:right w:val="none" w:sz="0" w:space="0" w:color="auto"/>
                          </w:divBdr>
                          <w:divsChild>
                            <w:div w:id="2024083971">
                              <w:marLeft w:val="0"/>
                              <w:marRight w:val="0"/>
                              <w:marTop w:val="0"/>
                              <w:marBottom w:val="0"/>
                              <w:divBdr>
                                <w:top w:val="none" w:sz="0" w:space="0" w:color="auto"/>
                                <w:left w:val="none" w:sz="0" w:space="0" w:color="auto"/>
                                <w:bottom w:val="none" w:sz="0" w:space="0" w:color="auto"/>
                                <w:right w:val="none" w:sz="0" w:space="0" w:color="auto"/>
                              </w:divBdr>
                              <w:divsChild>
                                <w:div w:id="125970665">
                                  <w:marLeft w:val="0"/>
                                  <w:marRight w:val="0"/>
                                  <w:marTop w:val="0"/>
                                  <w:marBottom w:val="0"/>
                                  <w:divBdr>
                                    <w:top w:val="none" w:sz="0" w:space="0" w:color="auto"/>
                                    <w:left w:val="none" w:sz="0" w:space="0" w:color="auto"/>
                                    <w:bottom w:val="none" w:sz="0" w:space="0" w:color="auto"/>
                                    <w:right w:val="none" w:sz="0" w:space="0" w:color="auto"/>
                                  </w:divBdr>
                                  <w:divsChild>
                                    <w:div w:id="1660495064">
                                      <w:marLeft w:val="0"/>
                                      <w:marRight w:val="0"/>
                                      <w:marTop w:val="0"/>
                                      <w:marBottom w:val="0"/>
                                      <w:divBdr>
                                        <w:top w:val="none" w:sz="0" w:space="0" w:color="auto"/>
                                        <w:left w:val="none" w:sz="0" w:space="0" w:color="auto"/>
                                        <w:bottom w:val="none" w:sz="0" w:space="0" w:color="auto"/>
                                        <w:right w:val="none" w:sz="0" w:space="0" w:color="auto"/>
                                      </w:divBdr>
                                      <w:divsChild>
                                        <w:div w:id="1275092054">
                                          <w:marLeft w:val="0"/>
                                          <w:marRight w:val="0"/>
                                          <w:marTop w:val="0"/>
                                          <w:marBottom w:val="0"/>
                                          <w:divBdr>
                                            <w:top w:val="none" w:sz="0" w:space="0" w:color="auto"/>
                                            <w:left w:val="none" w:sz="0" w:space="0" w:color="auto"/>
                                            <w:bottom w:val="none" w:sz="0" w:space="0" w:color="auto"/>
                                            <w:right w:val="none" w:sz="0" w:space="0" w:color="auto"/>
                                          </w:divBdr>
                                          <w:divsChild>
                                            <w:div w:id="180779742">
                                              <w:marLeft w:val="0"/>
                                              <w:marRight w:val="0"/>
                                              <w:marTop w:val="0"/>
                                              <w:marBottom w:val="0"/>
                                              <w:divBdr>
                                                <w:top w:val="none" w:sz="0" w:space="0" w:color="auto"/>
                                                <w:left w:val="none" w:sz="0" w:space="0" w:color="auto"/>
                                                <w:bottom w:val="none" w:sz="0" w:space="0" w:color="auto"/>
                                                <w:right w:val="none" w:sz="0" w:space="0" w:color="auto"/>
                                              </w:divBdr>
                                              <w:divsChild>
                                                <w:div w:id="1985501174">
                                                  <w:marLeft w:val="0"/>
                                                  <w:marRight w:val="0"/>
                                                  <w:marTop w:val="0"/>
                                                  <w:marBottom w:val="0"/>
                                                  <w:divBdr>
                                                    <w:top w:val="none" w:sz="0" w:space="0" w:color="auto"/>
                                                    <w:left w:val="none" w:sz="0" w:space="0" w:color="auto"/>
                                                    <w:bottom w:val="none" w:sz="0" w:space="0" w:color="auto"/>
                                                    <w:right w:val="none" w:sz="0" w:space="0" w:color="auto"/>
                                                  </w:divBdr>
                                                  <w:divsChild>
                                                    <w:div w:id="977567502">
                                                      <w:marLeft w:val="0"/>
                                                      <w:marRight w:val="0"/>
                                                      <w:marTop w:val="0"/>
                                                      <w:marBottom w:val="0"/>
                                                      <w:divBdr>
                                                        <w:top w:val="none" w:sz="0" w:space="0" w:color="auto"/>
                                                        <w:left w:val="none" w:sz="0" w:space="0" w:color="auto"/>
                                                        <w:bottom w:val="none" w:sz="0" w:space="0" w:color="auto"/>
                                                        <w:right w:val="none" w:sz="0" w:space="0" w:color="auto"/>
                                                      </w:divBdr>
                                                      <w:divsChild>
                                                        <w:div w:id="614748861">
                                                          <w:marLeft w:val="0"/>
                                                          <w:marRight w:val="0"/>
                                                          <w:marTop w:val="0"/>
                                                          <w:marBottom w:val="0"/>
                                                          <w:divBdr>
                                                            <w:top w:val="none" w:sz="0" w:space="0" w:color="auto"/>
                                                            <w:left w:val="none" w:sz="0" w:space="0" w:color="auto"/>
                                                            <w:bottom w:val="none" w:sz="0" w:space="0" w:color="auto"/>
                                                            <w:right w:val="none" w:sz="0" w:space="0" w:color="auto"/>
                                                          </w:divBdr>
                                                          <w:divsChild>
                                                            <w:div w:id="849105523">
                                                              <w:marLeft w:val="0"/>
                                                              <w:marRight w:val="0"/>
                                                              <w:marTop w:val="0"/>
                                                              <w:marBottom w:val="0"/>
                                                              <w:divBdr>
                                                                <w:top w:val="none" w:sz="0" w:space="0" w:color="auto"/>
                                                                <w:left w:val="none" w:sz="0" w:space="0" w:color="auto"/>
                                                                <w:bottom w:val="none" w:sz="0" w:space="0" w:color="auto"/>
                                                                <w:right w:val="none" w:sz="0" w:space="0" w:color="auto"/>
                                                              </w:divBdr>
                                                              <w:divsChild>
                                                                <w:div w:id="1280336257">
                                                                  <w:marLeft w:val="-210"/>
                                                                  <w:marRight w:val="-75"/>
                                                                  <w:marTop w:val="0"/>
                                                                  <w:marBottom w:val="0"/>
                                                                  <w:divBdr>
                                                                    <w:top w:val="none" w:sz="0" w:space="0" w:color="auto"/>
                                                                    <w:left w:val="none" w:sz="0" w:space="0" w:color="auto"/>
                                                                    <w:bottom w:val="none" w:sz="0" w:space="0" w:color="auto"/>
                                                                    <w:right w:val="none" w:sz="0" w:space="0" w:color="auto"/>
                                                                  </w:divBdr>
                                                                  <w:divsChild>
                                                                    <w:div w:id="1077242336">
                                                                      <w:marLeft w:val="0"/>
                                                                      <w:marRight w:val="0"/>
                                                                      <w:marTop w:val="0"/>
                                                                      <w:marBottom w:val="0"/>
                                                                      <w:divBdr>
                                                                        <w:top w:val="none" w:sz="0" w:space="0" w:color="auto"/>
                                                                        <w:left w:val="none" w:sz="0" w:space="0" w:color="auto"/>
                                                                        <w:bottom w:val="none" w:sz="0" w:space="0" w:color="auto"/>
                                                                        <w:right w:val="none" w:sz="0" w:space="0" w:color="auto"/>
                                                                      </w:divBdr>
                                                                      <w:divsChild>
                                                                        <w:div w:id="68969390">
                                                                          <w:marLeft w:val="0"/>
                                                                          <w:marRight w:val="0"/>
                                                                          <w:marTop w:val="0"/>
                                                                          <w:marBottom w:val="0"/>
                                                                          <w:divBdr>
                                                                            <w:top w:val="none" w:sz="0" w:space="0" w:color="auto"/>
                                                                            <w:left w:val="none" w:sz="0" w:space="0" w:color="auto"/>
                                                                            <w:bottom w:val="none" w:sz="0" w:space="0" w:color="auto"/>
                                                                            <w:right w:val="none" w:sz="0" w:space="0" w:color="auto"/>
                                                                          </w:divBdr>
                                                                          <w:divsChild>
                                                                            <w:div w:id="1694503016">
                                                                              <w:marLeft w:val="0"/>
                                                                              <w:marRight w:val="0"/>
                                                                              <w:marTop w:val="0"/>
                                                                              <w:marBottom w:val="0"/>
                                                                              <w:divBdr>
                                                                                <w:top w:val="none" w:sz="0" w:space="0" w:color="auto"/>
                                                                                <w:left w:val="none" w:sz="0" w:space="0" w:color="auto"/>
                                                                                <w:bottom w:val="none" w:sz="0" w:space="0" w:color="auto"/>
                                                                                <w:right w:val="none" w:sz="0" w:space="0" w:color="auto"/>
                                                                              </w:divBdr>
                                                                              <w:divsChild>
                                                                                <w:div w:id="1074084450">
                                                                                  <w:marLeft w:val="0"/>
                                                                                  <w:marRight w:val="0"/>
                                                                                  <w:marTop w:val="0"/>
                                                                                  <w:marBottom w:val="0"/>
                                                                                  <w:divBdr>
                                                                                    <w:top w:val="none" w:sz="0" w:space="0" w:color="auto"/>
                                                                                    <w:left w:val="none" w:sz="0" w:space="0" w:color="auto"/>
                                                                                    <w:bottom w:val="none" w:sz="0" w:space="0" w:color="auto"/>
                                                                                    <w:right w:val="none" w:sz="0" w:space="0" w:color="auto"/>
                                                                                  </w:divBdr>
                                                                                  <w:divsChild>
                                                                                    <w:div w:id="227494899">
                                                                                      <w:marLeft w:val="0"/>
                                                                                      <w:marRight w:val="0"/>
                                                                                      <w:marTop w:val="0"/>
                                                                                      <w:marBottom w:val="0"/>
                                                                                      <w:divBdr>
                                                                                        <w:top w:val="none" w:sz="0" w:space="0" w:color="auto"/>
                                                                                        <w:left w:val="none" w:sz="0" w:space="0" w:color="auto"/>
                                                                                        <w:bottom w:val="none" w:sz="0" w:space="0" w:color="auto"/>
                                                                                        <w:right w:val="none" w:sz="0" w:space="0" w:color="auto"/>
                                                                                      </w:divBdr>
                                                                                      <w:divsChild>
                                                                                        <w:div w:id="292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241146">
      <w:bodyDiv w:val="1"/>
      <w:marLeft w:val="0"/>
      <w:marRight w:val="0"/>
      <w:marTop w:val="0"/>
      <w:marBottom w:val="0"/>
      <w:divBdr>
        <w:top w:val="none" w:sz="0" w:space="0" w:color="auto"/>
        <w:left w:val="none" w:sz="0" w:space="0" w:color="auto"/>
        <w:bottom w:val="none" w:sz="0" w:space="0" w:color="auto"/>
        <w:right w:val="none" w:sz="0" w:space="0" w:color="auto"/>
      </w:divBdr>
      <w:divsChild>
        <w:div w:id="1452358341">
          <w:marLeft w:val="0"/>
          <w:marRight w:val="0"/>
          <w:marTop w:val="0"/>
          <w:marBottom w:val="0"/>
          <w:divBdr>
            <w:top w:val="none" w:sz="0" w:space="0" w:color="auto"/>
            <w:left w:val="none" w:sz="0" w:space="0" w:color="auto"/>
            <w:bottom w:val="none" w:sz="0" w:space="0" w:color="auto"/>
            <w:right w:val="none" w:sz="0" w:space="0" w:color="auto"/>
          </w:divBdr>
          <w:divsChild>
            <w:div w:id="1231618691">
              <w:marLeft w:val="0"/>
              <w:marRight w:val="0"/>
              <w:marTop w:val="0"/>
              <w:marBottom w:val="0"/>
              <w:divBdr>
                <w:top w:val="none" w:sz="0" w:space="0" w:color="auto"/>
                <w:left w:val="none" w:sz="0" w:space="0" w:color="auto"/>
                <w:bottom w:val="none" w:sz="0" w:space="0" w:color="auto"/>
                <w:right w:val="none" w:sz="0" w:space="0" w:color="auto"/>
              </w:divBdr>
              <w:divsChild>
                <w:div w:id="889463679">
                  <w:marLeft w:val="0"/>
                  <w:marRight w:val="0"/>
                  <w:marTop w:val="0"/>
                  <w:marBottom w:val="0"/>
                  <w:divBdr>
                    <w:top w:val="none" w:sz="0" w:space="0" w:color="auto"/>
                    <w:left w:val="none" w:sz="0" w:space="0" w:color="auto"/>
                    <w:bottom w:val="none" w:sz="0" w:space="0" w:color="auto"/>
                    <w:right w:val="none" w:sz="0" w:space="0" w:color="auto"/>
                  </w:divBdr>
                  <w:divsChild>
                    <w:div w:id="1014726269">
                      <w:marLeft w:val="0"/>
                      <w:marRight w:val="0"/>
                      <w:marTop w:val="0"/>
                      <w:marBottom w:val="0"/>
                      <w:divBdr>
                        <w:top w:val="none" w:sz="0" w:space="0" w:color="auto"/>
                        <w:left w:val="none" w:sz="0" w:space="0" w:color="auto"/>
                        <w:bottom w:val="none" w:sz="0" w:space="0" w:color="auto"/>
                        <w:right w:val="none" w:sz="0" w:space="0" w:color="auto"/>
                      </w:divBdr>
                      <w:divsChild>
                        <w:div w:id="1477454419">
                          <w:marLeft w:val="0"/>
                          <w:marRight w:val="0"/>
                          <w:marTop w:val="0"/>
                          <w:marBottom w:val="0"/>
                          <w:divBdr>
                            <w:top w:val="none" w:sz="0" w:space="0" w:color="auto"/>
                            <w:left w:val="none" w:sz="0" w:space="0" w:color="auto"/>
                            <w:bottom w:val="none" w:sz="0" w:space="0" w:color="auto"/>
                            <w:right w:val="none" w:sz="0" w:space="0" w:color="auto"/>
                          </w:divBdr>
                          <w:divsChild>
                            <w:div w:id="507214185">
                              <w:marLeft w:val="0"/>
                              <w:marRight w:val="0"/>
                              <w:marTop w:val="0"/>
                              <w:marBottom w:val="0"/>
                              <w:divBdr>
                                <w:top w:val="none" w:sz="0" w:space="0" w:color="auto"/>
                                <w:left w:val="none" w:sz="0" w:space="0" w:color="auto"/>
                                <w:bottom w:val="none" w:sz="0" w:space="0" w:color="auto"/>
                                <w:right w:val="none" w:sz="0" w:space="0" w:color="auto"/>
                              </w:divBdr>
                              <w:divsChild>
                                <w:div w:id="1565678309">
                                  <w:marLeft w:val="0"/>
                                  <w:marRight w:val="0"/>
                                  <w:marTop w:val="0"/>
                                  <w:marBottom w:val="0"/>
                                  <w:divBdr>
                                    <w:top w:val="none" w:sz="0" w:space="0" w:color="auto"/>
                                    <w:left w:val="none" w:sz="0" w:space="0" w:color="auto"/>
                                    <w:bottom w:val="none" w:sz="0" w:space="0" w:color="auto"/>
                                    <w:right w:val="none" w:sz="0" w:space="0" w:color="auto"/>
                                  </w:divBdr>
                                  <w:divsChild>
                                    <w:div w:id="93408500">
                                      <w:marLeft w:val="0"/>
                                      <w:marRight w:val="0"/>
                                      <w:marTop w:val="0"/>
                                      <w:marBottom w:val="0"/>
                                      <w:divBdr>
                                        <w:top w:val="none" w:sz="0" w:space="0" w:color="auto"/>
                                        <w:left w:val="none" w:sz="0" w:space="0" w:color="auto"/>
                                        <w:bottom w:val="none" w:sz="0" w:space="0" w:color="auto"/>
                                        <w:right w:val="none" w:sz="0" w:space="0" w:color="auto"/>
                                      </w:divBdr>
                                      <w:divsChild>
                                        <w:div w:id="2060930584">
                                          <w:marLeft w:val="0"/>
                                          <w:marRight w:val="0"/>
                                          <w:marTop w:val="0"/>
                                          <w:marBottom w:val="0"/>
                                          <w:divBdr>
                                            <w:top w:val="none" w:sz="0" w:space="0" w:color="auto"/>
                                            <w:left w:val="none" w:sz="0" w:space="0" w:color="auto"/>
                                            <w:bottom w:val="none" w:sz="0" w:space="0" w:color="auto"/>
                                            <w:right w:val="none" w:sz="0" w:space="0" w:color="auto"/>
                                          </w:divBdr>
                                          <w:divsChild>
                                            <w:div w:id="1938558473">
                                              <w:marLeft w:val="0"/>
                                              <w:marRight w:val="0"/>
                                              <w:marTop w:val="0"/>
                                              <w:marBottom w:val="0"/>
                                              <w:divBdr>
                                                <w:top w:val="none" w:sz="0" w:space="0" w:color="auto"/>
                                                <w:left w:val="none" w:sz="0" w:space="0" w:color="auto"/>
                                                <w:bottom w:val="none" w:sz="0" w:space="0" w:color="auto"/>
                                                <w:right w:val="none" w:sz="0" w:space="0" w:color="auto"/>
                                              </w:divBdr>
                                              <w:divsChild>
                                                <w:div w:id="1616600787">
                                                  <w:marLeft w:val="0"/>
                                                  <w:marRight w:val="0"/>
                                                  <w:marTop w:val="0"/>
                                                  <w:marBottom w:val="0"/>
                                                  <w:divBdr>
                                                    <w:top w:val="none" w:sz="0" w:space="0" w:color="auto"/>
                                                    <w:left w:val="none" w:sz="0" w:space="0" w:color="auto"/>
                                                    <w:bottom w:val="none" w:sz="0" w:space="0" w:color="auto"/>
                                                    <w:right w:val="none" w:sz="0" w:space="0" w:color="auto"/>
                                                  </w:divBdr>
                                                  <w:divsChild>
                                                    <w:div w:id="2096434616">
                                                      <w:marLeft w:val="0"/>
                                                      <w:marRight w:val="0"/>
                                                      <w:marTop w:val="0"/>
                                                      <w:marBottom w:val="0"/>
                                                      <w:divBdr>
                                                        <w:top w:val="none" w:sz="0" w:space="0" w:color="auto"/>
                                                        <w:left w:val="none" w:sz="0" w:space="0" w:color="auto"/>
                                                        <w:bottom w:val="none" w:sz="0" w:space="0" w:color="auto"/>
                                                        <w:right w:val="none" w:sz="0" w:space="0" w:color="auto"/>
                                                      </w:divBdr>
                                                      <w:divsChild>
                                                        <w:div w:id="1711687965">
                                                          <w:marLeft w:val="0"/>
                                                          <w:marRight w:val="0"/>
                                                          <w:marTop w:val="0"/>
                                                          <w:marBottom w:val="0"/>
                                                          <w:divBdr>
                                                            <w:top w:val="none" w:sz="0" w:space="0" w:color="auto"/>
                                                            <w:left w:val="none" w:sz="0" w:space="0" w:color="auto"/>
                                                            <w:bottom w:val="none" w:sz="0" w:space="0" w:color="auto"/>
                                                            <w:right w:val="none" w:sz="0" w:space="0" w:color="auto"/>
                                                          </w:divBdr>
                                                          <w:divsChild>
                                                            <w:div w:id="177430511">
                                                              <w:marLeft w:val="0"/>
                                                              <w:marRight w:val="0"/>
                                                              <w:marTop w:val="0"/>
                                                              <w:marBottom w:val="0"/>
                                                              <w:divBdr>
                                                                <w:top w:val="none" w:sz="0" w:space="0" w:color="auto"/>
                                                                <w:left w:val="none" w:sz="0" w:space="0" w:color="auto"/>
                                                                <w:bottom w:val="none" w:sz="0" w:space="0" w:color="auto"/>
                                                                <w:right w:val="none" w:sz="0" w:space="0" w:color="auto"/>
                                                              </w:divBdr>
                                                              <w:divsChild>
                                                                <w:div w:id="463737494">
                                                                  <w:marLeft w:val="-210"/>
                                                                  <w:marRight w:val="-75"/>
                                                                  <w:marTop w:val="0"/>
                                                                  <w:marBottom w:val="0"/>
                                                                  <w:divBdr>
                                                                    <w:top w:val="none" w:sz="0" w:space="0" w:color="auto"/>
                                                                    <w:left w:val="none" w:sz="0" w:space="0" w:color="auto"/>
                                                                    <w:bottom w:val="none" w:sz="0" w:space="0" w:color="auto"/>
                                                                    <w:right w:val="none" w:sz="0" w:space="0" w:color="auto"/>
                                                                  </w:divBdr>
                                                                  <w:divsChild>
                                                                    <w:div w:id="1957367456">
                                                                      <w:marLeft w:val="0"/>
                                                                      <w:marRight w:val="0"/>
                                                                      <w:marTop w:val="0"/>
                                                                      <w:marBottom w:val="0"/>
                                                                      <w:divBdr>
                                                                        <w:top w:val="none" w:sz="0" w:space="0" w:color="auto"/>
                                                                        <w:left w:val="none" w:sz="0" w:space="0" w:color="auto"/>
                                                                        <w:bottom w:val="none" w:sz="0" w:space="0" w:color="auto"/>
                                                                        <w:right w:val="none" w:sz="0" w:space="0" w:color="auto"/>
                                                                      </w:divBdr>
                                                                      <w:divsChild>
                                                                        <w:div w:id="417213553">
                                                                          <w:marLeft w:val="0"/>
                                                                          <w:marRight w:val="0"/>
                                                                          <w:marTop w:val="0"/>
                                                                          <w:marBottom w:val="0"/>
                                                                          <w:divBdr>
                                                                            <w:top w:val="none" w:sz="0" w:space="0" w:color="auto"/>
                                                                            <w:left w:val="none" w:sz="0" w:space="0" w:color="auto"/>
                                                                            <w:bottom w:val="none" w:sz="0" w:space="0" w:color="auto"/>
                                                                            <w:right w:val="none" w:sz="0" w:space="0" w:color="auto"/>
                                                                          </w:divBdr>
                                                                          <w:divsChild>
                                                                            <w:div w:id="2007318646">
                                                                              <w:marLeft w:val="0"/>
                                                                              <w:marRight w:val="0"/>
                                                                              <w:marTop w:val="0"/>
                                                                              <w:marBottom w:val="0"/>
                                                                              <w:divBdr>
                                                                                <w:top w:val="none" w:sz="0" w:space="0" w:color="auto"/>
                                                                                <w:left w:val="none" w:sz="0" w:space="0" w:color="auto"/>
                                                                                <w:bottom w:val="none" w:sz="0" w:space="0" w:color="auto"/>
                                                                                <w:right w:val="none" w:sz="0" w:space="0" w:color="auto"/>
                                                                              </w:divBdr>
                                                                              <w:divsChild>
                                                                                <w:div w:id="650066080">
                                                                                  <w:marLeft w:val="0"/>
                                                                                  <w:marRight w:val="0"/>
                                                                                  <w:marTop w:val="0"/>
                                                                                  <w:marBottom w:val="0"/>
                                                                                  <w:divBdr>
                                                                                    <w:top w:val="none" w:sz="0" w:space="0" w:color="auto"/>
                                                                                    <w:left w:val="none" w:sz="0" w:space="0" w:color="auto"/>
                                                                                    <w:bottom w:val="none" w:sz="0" w:space="0" w:color="auto"/>
                                                                                    <w:right w:val="none" w:sz="0" w:space="0" w:color="auto"/>
                                                                                  </w:divBdr>
                                                                                  <w:divsChild>
                                                                                    <w:div w:id="688021795">
                                                                                      <w:marLeft w:val="0"/>
                                                                                      <w:marRight w:val="0"/>
                                                                                      <w:marTop w:val="0"/>
                                                                                      <w:marBottom w:val="0"/>
                                                                                      <w:divBdr>
                                                                                        <w:top w:val="none" w:sz="0" w:space="0" w:color="auto"/>
                                                                                        <w:left w:val="none" w:sz="0" w:space="0" w:color="auto"/>
                                                                                        <w:bottom w:val="none" w:sz="0" w:space="0" w:color="auto"/>
                                                                                        <w:right w:val="none" w:sz="0" w:space="0" w:color="auto"/>
                                                                                      </w:divBdr>
                                                                                      <w:divsChild>
                                                                                        <w:div w:id="1250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798570">
      <w:bodyDiv w:val="1"/>
      <w:marLeft w:val="0"/>
      <w:marRight w:val="0"/>
      <w:marTop w:val="0"/>
      <w:marBottom w:val="0"/>
      <w:divBdr>
        <w:top w:val="none" w:sz="0" w:space="0" w:color="auto"/>
        <w:left w:val="none" w:sz="0" w:space="0" w:color="auto"/>
        <w:bottom w:val="none" w:sz="0" w:space="0" w:color="auto"/>
        <w:right w:val="none" w:sz="0" w:space="0" w:color="auto"/>
      </w:divBdr>
    </w:div>
    <w:div w:id="824276319">
      <w:bodyDiv w:val="1"/>
      <w:marLeft w:val="0"/>
      <w:marRight w:val="0"/>
      <w:marTop w:val="0"/>
      <w:marBottom w:val="0"/>
      <w:divBdr>
        <w:top w:val="none" w:sz="0" w:space="0" w:color="auto"/>
        <w:left w:val="none" w:sz="0" w:space="0" w:color="auto"/>
        <w:bottom w:val="none" w:sz="0" w:space="0" w:color="auto"/>
        <w:right w:val="none" w:sz="0" w:space="0" w:color="auto"/>
      </w:divBdr>
    </w:div>
    <w:div w:id="969743445">
      <w:bodyDiv w:val="1"/>
      <w:marLeft w:val="0"/>
      <w:marRight w:val="0"/>
      <w:marTop w:val="0"/>
      <w:marBottom w:val="0"/>
      <w:divBdr>
        <w:top w:val="none" w:sz="0" w:space="0" w:color="auto"/>
        <w:left w:val="none" w:sz="0" w:space="0" w:color="auto"/>
        <w:bottom w:val="none" w:sz="0" w:space="0" w:color="auto"/>
        <w:right w:val="none" w:sz="0" w:space="0" w:color="auto"/>
      </w:divBdr>
    </w:div>
    <w:div w:id="977762442">
      <w:bodyDiv w:val="1"/>
      <w:marLeft w:val="0"/>
      <w:marRight w:val="0"/>
      <w:marTop w:val="0"/>
      <w:marBottom w:val="0"/>
      <w:divBdr>
        <w:top w:val="none" w:sz="0" w:space="0" w:color="auto"/>
        <w:left w:val="none" w:sz="0" w:space="0" w:color="auto"/>
        <w:bottom w:val="none" w:sz="0" w:space="0" w:color="auto"/>
        <w:right w:val="none" w:sz="0" w:space="0" w:color="auto"/>
      </w:divBdr>
    </w:div>
    <w:div w:id="1039814719">
      <w:bodyDiv w:val="1"/>
      <w:marLeft w:val="0"/>
      <w:marRight w:val="0"/>
      <w:marTop w:val="0"/>
      <w:marBottom w:val="0"/>
      <w:divBdr>
        <w:top w:val="none" w:sz="0" w:space="0" w:color="auto"/>
        <w:left w:val="none" w:sz="0" w:space="0" w:color="auto"/>
        <w:bottom w:val="none" w:sz="0" w:space="0" w:color="auto"/>
        <w:right w:val="none" w:sz="0" w:space="0" w:color="auto"/>
      </w:divBdr>
    </w:div>
    <w:div w:id="1068068217">
      <w:bodyDiv w:val="1"/>
      <w:marLeft w:val="0"/>
      <w:marRight w:val="0"/>
      <w:marTop w:val="0"/>
      <w:marBottom w:val="0"/>
      <w:divBdr>
        <w:top w:val="none" w:sz="0" w:space="0" w:color="auto"/>
        <w:left w:val="none" w:sz="0" w:space="0" w:color="auto"/>
        <w:bottom w:val="none" w:sz="0" w:space="0" w:color="auto"/>
        <w:right w:val="none" w:sz="0" w:space="0" w:color="auto"/>
      </w:divBdr>
    </w:div>
    <w:div w:id="1187989478">
      <w:bodyDiv w:val="1"/>
      <w:marLeft w:val="0"/>
      <w:marRight w:val="0"/>
      <w:marTop w:val="0"/>
      <w:marBottom w:val="0"/>
      <w:divBdr>
        <w:top w:val="none" w:sz="0" w:space="0" w:color="auto"/>
        <w:left w:val="none" w:sz="0" w:space="0" w:color="auto"/>
        <w:bottom w:val="none" w:sz="0" w:space="0" w:color="auto"/>
        <w:right w:val="none" w:sz="0" w:space="0" w:color="auto"/>
      </w:divBdr>
    </w:div>
    <w:div w:id="1197813666">
      <w:bodyDiv w:val="1"/>
      <w:marLeft w:val="0"/>
      <w:marRight w:val="0"/>
      <w:marTop w:val="0"/>
      <w:marBottom w:val="0"/>
      <w:divBdr>
        <w:top w:val="none" w:sz="0" w:space="0" w:color="auto"/>
        <w:left w:val="none" w:sz="0" w:space="0" w:color="auto"/>
        <w:bottom w:val="none" w:sz="0" w:space="0" w:color="auto"/>
        <w:right w:val="none" w:sz="0" w:space="0" w:color="auto"/>
      </w:divBdr>
      <w:divsChild>
        <w:div w:id="679310746">
          <w:marLeft w:val="1166"/>
          <w:marRight w:val="0"/>
          <w:marTop w:val="96"/>
          <w:marBottom w:val="0"/>
          <w:divBdr>
            <w:top w:val="none" w:sz="0" w:space="0" w:color="auto"/>
            <w:left w:val="none" w:sz="0" w:space="0" w:color="auto"/>
            <w:bottom w:val="none" w:sz="0" w:space="0" w:color="auto"/>
            <w:right w:val="none" w:sz="0" w:space="0" w:color="auto"/>
          </w:divBdr>
        </w:div>
      </w:divsChild>
    </w:div>
    <w:div w:id="1294674149">
      <w:bodyDiv w:val="1"/>
      <w:marLeft w:val="0"/>
      <w:marRight w:val="0"/>
      <w:marTop w:val="0"/>
      <w:marBottom w:val="0"/>
      <w:divBdr>
        <w:top w:val="none" w:sz="0" w:space="0" w:color="auto"/>
        <w:left w:val="none" w:sz="0" w:space="0" w:color="auto"/>
        <w:bottom w:val="none" w:sz="0" w:space="0" w:color="auto"/>
        <w:right w:val="none" w:sz="0" w:space="0" w:color="auto"/>
      </w:divBdr>
    </w:div>
    <w:div w:id="1310597673">
      <w:bodyDiv w:val="1"/>
      <w:marLeft w:val="0"/>
      <w:marRight w:val="0"/>
      <w:marTop w:val="0"/>
      <w:marBottom w:val="0"/>
      <w:divBdr>
        <w:top w:val="none" w:sz="0" w:space="0" w:color="auto"/>
        <w:left w:val="none" w:sz="0" w:space="0" w:color="auto"/>
        <w:bottom w:val="none" w:sz="0" w:space="0" w:color="auto"/>
        <w:right w:val="none" w:sz="0" w:space="0" w:color="auto"/>
      </w:divBdr>
      <w:divsChild>
        <w:div w:id="152373604">
          <w:marLeft w:val="0"/>
          <w:marRight w:val="0"/>
          <w:marTop w:val="0"/>
          <w:marBottom w:val="0"/>
          <w:divBdr>
            <w:top w:val="none" w:sz="0" w:space="0" w:color="auto"/>
            <w:left w:val="none" w:sz="0" w:space="0" w:color="auto"/>
            <w:bottom w:val="none" w:sz="0" w:space="0" w:color="auto"/>
            <w:right w:val="none" w:sz="0" w:space="0" w:color="auto"/>
          </w:divBdr>
          <w:divsChild>
            <w:div w:id="1734962664">
              <w:marLeft w:val="0"/>
              <w:marRight w:val="0"/>
              <w:marTop w:val="0"/>
              <w:marBottom w:val="0"/>
              <w:divBdr>
                <w:top w:val="none" w:sz="0" w:space="0" w:color="auto"/>
                <w:left w:val="none" w:sz="0" w:space="0" w:color="auto"/>
                <w:bottom w:val="none" w:sz="0" w:space="0" w:color="auto"/>
                <w:right w:val="none" w:sz="0" w:space="0" w:color="auto"/>
              </w:divBdr>
              <w:divsChild>
                <w:div w:id="2001153103">
                  <w:marLeft w:val="0"/>
                  <w:marRight w:val="0"/>
                  <w:marTop w:val="0"/>
                  <w:marBottom w:val="0"/>
                  <w:divBdr>
                    <w:top w:val="none" w:sz="0" w:space="0" w:color="auto"/>
                    <w:left w:val="none" w:sz="0" w:space="0" w:color="auto"/>
                    <w:bottom w:val="none" w:sz="0" w:space="0" w:color="auto"/>
                    <w:right w:val="none" w:sz="0" w:space="0" w:color="auto"/>
                  </w:divBdr>
                  <w:divsChild>
                    <w:div w:id="1329597337">
                      <w:marLeft w:val="0"/>
                      <w:marRight w:val="0"/>
                      <w:marTop w:val="0"/>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sChild>
                            <w:div w:id="267666032">
                              <w:marLeft w:val="0"/>
                              <w:marRight w:val="0"/>
                              <w:marTop w:val="0"/>
                              <w:marBottom w:val="0"/>
                              <w:divBdr>
                                <w:top w:val="none" w:sz="0" w:space="0" w:color="auto"/>
                                <w:left w:val="none" w:sz="0" w:space="0" w:color="auto"/>
                                <w:bottom w:val="none" w:sz="0" w:space="0" w:color="auto"/>
                                <w:right w:val="none" w:sz="0" w:space="0" w:color="auto"/>
                              </w:divBdr>
                              <w:divsChild>
                                <w:div w:id="878475149">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0"/>
                                      <w:marBottom w:val="0"/>
                                      <w:divBdr>
                                        <w:top w:val="none" w:sz="0" w:space="0" w:color="auto"/>
                                        <w:left w:val="none" w:sz="0" w:space="0" w:color="auto"/>
                                        <w:bottom w:val="none" w:sz="0" w:space="0" w:color="auto"/>
                                        <w:right w:val="none" w:sz="0" w:space="0" w:color="auto"/>
                                      </w:divBdr>
                                      <w:divsChild>
                                        <w:div w:id="1557935267">
                                          <w:marLeft w:val="0"/>
                                          <w:marRight w:val="0"/>
                                          <w:marTop w:val="0"/>
                                          <w:marBottom w:val="0"/>
                                          <w:divBdr>
                                            <w:top w:val="none" w:sz="0" w:space="0" w:color="auto"/>
                                            <w:left w:val="none" w:sz="0" w:space="0" w:color="auto"/>
                                            <w:bottom w:val="none" w:sz="0" w:space="0" w:color="auto"/>
                                            <w:right w:val="none" w:sz="0" w:space="0" w:color="auto"/>
                                          </w:divBdr>
                                          <w:divsChild>
                                            <w:div w:id="2103261597">
                                              <w:marLeft w:val="0"/>
                                              <w:marRight w:val="0"/>
                                              <w:marTop w:val="0"/>
                                              <w:marBottom w:val="0"/>
                                              <w:divBdr>
                                                <w:top w:val="none" w:sz="0" w:space="0" w:color="auto"/>
                                                <w:left w:val="none" w:sz="0" w:space="0" w:color="auto"/>
                                                <w:bottom w:val="none" w:sz="0" w:space="0" w:color="auto"/>
                                                <w:right w:val="none" w:sz="0" w:space="0" w:color="auto"/>
                                              </w:divBdr>
                                              <w:divsChild>
                                                <w:div w:id="1456605448">
                                                  <w:marLeft w:val="0"/>
                                                  <w:marRight w:val="0"/>
                                                  <w:marTop w:val="0"/>
                                                  <w:marBottom w:val="0"/>
                                                  <w:divBdr>
                                                    <w:top w:val="none" w:sz="0" w:space="0" w:color="auto"/>
                                                    <w:left w:val="none" w:sz="0" w:space="0" w:color="auto"/>
                                                    <w:bottom w:val="none" w:sz="0" w:space="0" w:color="auto"/>
                                                    <w:right w:val="none" w:sz="0" w:space="0" w:color="auto"/>
                                                  </w:divBdr>
                                                  <w:divsChild>
                                                    <w:div w:id="2117433892">
                                                      <w:marLeft w:val="0"/>
                                                      <w:marRight w:val="0"/>
                                                      <w:marTop w:val="0"/>
                                                      <w:marBottom w:val="0"/>
                                                      <w:divBdr>
                                                        <w:top w:val="none" w:sz="0" w:space="0" w:color="auto"/>
                                                        <w:left w:val="none" w:sz="0" w:space="0" w:color="auto"/>
                                                        <w:bottom w:val="none" w:sz="0" w:space="0" w:color="auto"/>
                                                        <w:right w:val="none" w:sz="0" w:space="0" w:color="auto"/>
                                                      </w:divBdr>
                                                      <w:divsChild>
                                                        <w:div w:id="991375910">
                                                          <w:marLeft w:val="0"/>
                                                          <w:marRight w:val="0"/>
                                                          <w:marTop w:val="0"/>
                                                          <w:marBottom w:val="0"/>
                                                          <w:divBdr>
                                                            <w:top w:val="none" w:sz="0" w:space="0" w:color="auto"/>
                                                            <w:left w:val="none" w:sz="0" w:space="0" w:color="auto"/>
                                                            <w:bottom w:val="none" w:sz="0" w:space="0" w:color="auto"/>
                                                            <w:right w:val="none" w:sz="0" w:space="0" w:color="auto"/>
                                                          </w:divBdr>
                                                          <w:divsChild>
                                                            <w:div w:id="641470750">
                                                              <w:marLeft w:val="0"/>
                                                              <w:marRight w:val="0"/>
                                                              <w:marTop w:val="0"/>
                                                              <w:marBottom w:val="0"/>
                                                              <w:divBdr>
                                                                <w:top w:val="none" w:sz="0" w:space="0" w:color="auto"/>
                                                                <w:left w:val="none" w:sz="0" w:space="0" w:color="auto"/>
                                                                <w:bottom w:val="none" w:sz="0" w:space="0" w:color="auto"/>
                                                                <w:right w:val="none" w:sz="0" w:space="0" w:color="auto"/>
                                                              </w:divBdr>
                                                              <w:divsChild>
                                                                <w:div w:id="1523933936">
                                                                  <w:marLeft w:val="-210"/>
                                                                  <w:marRight w:val="-75"/>
                                                                  <w:marTop w:val="0"/>
                                                                  <w:marBottom w:val="0"/>
                                                                  <w:divBdr>
                                                                    <w:top w:val="none" w:sz="0" w:space="0" w:color="auto"/>
                                                                    <w:left w:val="none" w:sz="0" w:space="0" w:color="auto"/>
                                                                    <w:bottom w:val="none" w:sz="0" w:space="0" w:color="auto"/>
                                                                    <w:right w:val="none" w:sz="0" w:space="0" w:color="auto"/>
                                                                  </w:divBdr>
                                                                  <w:divsChild>
                                                                    <w:div w:id="886453904">
                                                                      <w:marLeft w:val="0"/>
                                                                      <w:marRight w:val="0"/>
                                                                      <w:marTop w:val="0"/>
                                                                      <w:marBottom w:val="0"/>
                                                                      <w:divBdr>
                                                                        <w:top w:val="none" w:sz="0" w:space="0" w:color="auto"/>
                                                                        <w:left w:val="none" w:sz="0" w:space="0" w:color="auto"/>
                                                                        <w:bottom w:val="none" w:sz="0" w:space="0" w:color="auto"/>
                                                                        <w:right w:val="none" w:sz="0" w:space="0" w:color="auto"/>
                                                                      </w:divBdr>
                                                                      <w:divsChild>
                                                                        <w:div w:id="1736127296">
                                                                          <w:marLeft w:val="0"/>
                                                                          <w:marRight w:val="0"/>
                                                                          <w:marTop w:val="0"/>
                                                                          <w:marBottom w:val="0"/>
                                                                          <w:divBdr>
                                                                            <w:top w:val="none" w:sz="0" w:space="0" w:color="auto"/>
                                                                            <w:left w:val="none" w:sz="0" w:space="0" w:color="auto"/>
                                                                            <w:bottom w:val="none" w:sz="0" w:space="0" w:color="auto"/>
                                                                            <w:right w:val="none" w:sz="0" w:space="0" w:color="auto"/>
                                                                          </w:divBdr>
                                                                          <w:divsChild>
                                                                            <w:div w:id="835800089">
                                                                              <w:marLeft w:val="0"/>
                                                                              <w:marRight w:val="0"/>
                                                                              <w:marTop w:val="0"/>
                                                                              <w:marBottom w:val="0"/>
                                                                              <w:divBdr>
                                                                                <w:top w:val="none" w:sz="0" w:space="0" w:color="auto"/>
                                                                                <w:left w:val="none" w:sz="0" w:space="0" w:color="auto"/>
                                                                                <w:bottom w:val="none" w:sz="0" w:space="0" w:color="auto"/>
                                                                                <w:right w:val="none" w:sz="0" w:space="0" w:color="auto"/>
                                                                              </w:divBdr>
                                                                              <w:divsChild>
                                                                                <w:div w:id="96681733">
                                                                                  <w:marLeft w:val="0"/>
                                                                                  <w:marRight w:val="0"/>
                                                                                  <w:marTop w:val="0"/>
                                                                                  <w:marBottom w:val="0"/>
                                                                                  <w:divBdr>
                                                                                    <w:top w:val="none" w:sz="0" w:space="0" w:color="auto"/>
                                                                                    <w:left w:val="none" w:sz="0" w:space="0" w:color="auto"/>
                                                                                    <w:bottom w:val="none" w:sz="0" w:space="0" w:color="auto"/>
                                                                                    <w:right w:val="none" w:sz="0" w:space="0" w:color="auto"/>
                                                                                  </w:divBdr>
                                                                                  <w:divsChild>
                                                                                    <w:div w:id="831289369">
                                                                                      <w:marLeft w:val="0"/>
                                                                                      <w:marRight w:val="0"/>
                                                                                      <w:marTop w:val="0"/>
                                                                                      <w:marBottom w:val="0"/>
                                                                                      <w:divBdr>
                                                                                        <w:top w:val="none" w:sz="0" w:space="0" w:color="auto"/>
                                                                                        <w:left w:val="none" w:sz="0" w:space="0" w:color="auto"/>
                                                                                        <w:bottom w:val="none" w:sz="0" w:space="0" w:color="auto"/>
                                                                                        <w:right w:val="none" w:sz="0" w:space="0" w:color="auto"/>
                                                                                      </w:divBdr>
                                                                                      <w:divsChild>
                                                                                        <w:div w:id="418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476">
      <w:bodyDiv w:val="1"/>
      <w:marLeft w:val="0"/>
      <w:marRight w:val="0"/>
      <w:marTop w:val="0"/>
      <w:marBottom w:val="0"/>
      <w:divBdr>
        <w:top w:val="none" w:sz="0" w:space="0" w:color="auto"/>
        <w:left w:val="none" w:sz="0" w:space="0" w:color="auto"/>
        <w:bottom w:val="none" w:sz="0" w:space="0" w:color="auto"/>
        <w:right w:val="none" w:sz="0" w:space="0" w:color="auto"/>
      </w:divBdr>
    </w:div>
    <w:div w:id="1516849494">
      <w:bodyDiv w:val="1"/>
      <w:marLeft w:val="0"/>
      <w:marRight w:val="0"/>
      <w:marTop w:val="0"/>
      <w:marBottom w:val="0"/>
      <w:divBdr>
        <w:top w:val="none" w:sz="0" w:space="0" w:color="auto"/>
        <w:left w:val="none" w:sz="0" w:space="0" w:color="auto"/>
        <w:bottom w:val="none" w:sz="0" w:space="0" w:color="auto"/>
        <w:right w:val="none" w:sz="0" w:space="0" w:color="auto"/>
      </w:divBdr>
    </w:div>
    <w:div w:id="1703938801">
      <w:bodyDiv w:val="1"/>
      <w:marLeft w:val="0"/>
      <w:marRight w:val="0"/>
      <w:marTop w:val="0"/>
      <w:marBottom w:val="0"/>
      <w:divBdr>
        <w:top w:val="none" w:sz="0" w:space="0" w:color="auto"/>
        <w:left w:val="none" w:sz="0" w:space="0" w:color="auto"/>
        <w:bottom w:val="none" w:sz="0" w:space="0" w:color="auto"/>
        <w:right w:val="none" w:sz="0" w:space="0" w:color="auto"/>
      </w:divBdr>
      <w:divsChild>
        <w:div w:id="1098671687">
          <w:marLeft w:val="0"/>
          <w:marRight w:val="0"/>
          <w:marTop w:val="0"/>
          <w:marBottom w:val="0"/>
          <w:divBdr>
            <w:top w:val="none" w:sz="0" w:space="0" w:color="auto"/>
            <w:left w:val="none" w:sz="0" w:space="0" w:color="auto"/>
            <w:bottom w:val="none" w:sz="0" w:space="0" w:color="auto"/>
            <w:right w:val="none" w:sz="0" w:space="0" w:color="auto"/>
          </w:divBdr>
          <w:divsChild>
            <w:div w:id="1584024910">
              <w:marLeft w:val="0"/>
              <w:marRight w:val="0"/>
              <w:marTop w:val="0"/>
              <w:marBottom w:val="0"/>
              <w:divBdr>
                <w:top w:val="none" w:sz="0" w:space="0" w:color="auto"/>
                <w:left w:val="none" w:sz="0" w:space="0" w:color="auto"/>
                <w:bottom w:val="none" w:sz="0" w:space="0" w:color="auto"/>
                <w:right w:val="none" w:sz="0" w:space="0" w:color="auto"/>
              </w:divBdr>
              <w:divsChild>
                <w:div w:id="1227372554">
                  <w:marLeft w:val="0"/>
                  <w:marRight w:val="0"/>
                  <w:marTop w:val="0"/>
                  <w:marBottom w:val="0"/>
                  <w:divBdr>
                    <w:top w:val="none" w:sz="0" w:space="0" w:color="auto"/>
                    <w:left w:val="none" w:sz="0" w:space="0" w:color="auto"/>
                    <w:bottom w:val="none" w:sz="0" w:space="0" w:color="auto"/>
                    <w:right w:val="none" w:sz="0" w:space="0" w:color="auto"/>
                  </w:divBdr>
                  <w:divsChild>
                    <w:div w:id="1925649097">
                      <w:marLeft w:val="0"/>
                      <w:marRight w:val="0"/>
                      <w:marTop w:val="0"/>
                      <w:marBottom w:val="0"/>
                      <w:divBdr>
                        <w:top w:val="none" w:sz="0" w:space="0" w:color="auto"/>
                        <w:left w:val="none" w:sz="0" w:space="0" w:color="auto"/>
                        <w:bottom w:val="none" w:sz="0" w:space="0" w:color="auto"/>
                        <w:right w:val="none" w:sz="0" w:space="0" w:color="auto"/>
                      </w:divBdr>
                      <w:divsChild>
                        <w:div w:id="220597632">
                          <w:marLeft w:val="0"/>
                          <w:marRight w:val="0"/>
                          <w:marTop w:val="0"/>
                          <w:marBottom w:val="0"/>
                          <w:divBdr>
                            <w:top w:val="none" w:sz="0" w:space="0" w:color="auto"/>
                            <w:left w:val="none" w:sz="0" w:space="0" w:color="auto"/>
                            <w:bottom w:val="none" w:sz="0" w:space="0" w:color="auto"/>
                            <w:right w:val="none" w:sz="0" w:space="0" w:color="auto"/>
                          </w:divBdr>
                          <w:divsChild>
                            <w:div w:id="104930069">
                              <w:marLeft w:val="0"/>
                              <w:marRight w:val="0"/>
                              <w:marTop w:val="0"/>
                              <w:marBottom w:val="0"/>
                              <w:divBdr>
                                <w:top w:val="none" w:sz="0" w:space="0" w:color="auto"/>
                                <w:left w:val="none" w:sz="0" w:space="0" w:color="auto"/>
                                <w:bottom w:val="none" w:sz="0" w:space="0" w:color="auto"/>
                                <w:right w:val="none" w:sz="0" w:space="0" w:color="auto"/>
                              </w:divBdr>
                              <w:divsChild>
                                <w:div w:id="1234781259">
                                  <w:marLeft w:val="0"/>
                                  <w:marRight w:val="0"/>
                                  <w:marTop w:val="0"/>
                                  <w:marBottom w:val="0"/>
                                  <w:divBdr>
                                    <w:top w:val="none" w:sz="0" w:space="0" w:color="auto"/>
                                    <w:left w:val="none" w:sz="0" w:space="0" w:color="auto"/>
                                    <w:bottom w:val="none" w:sz="0" w:space="0" w:color="auto"/>
                                    <w:right w:val="none" w:sz="0" w:space="0" w:color="auto"/>
                                  </w:divBdr>
                                  <w:divsChild>
                                    <w:div w:id="519011612">
                                      <w:marLeft w:val="0"/>
                                      <w:marRight w:val="0"/>
                                      <w:marTop w:val="0"/>
                                      <w:marBottom w:val="0"/>
                                      <w:divBdr>
                                        <w:top w:val="none" w:sz="0" w:space="0" w:color="auto"/>
                                        <w:left w:val="none" w:sz="0" w:space="0" w:color="auto"/>
                                        <w:bottom w:val="none" w:sz="0" w:space="0" w:color="auto"/>
                                        <w:right w:val="none" w:sz="0" w:space="0" w:color="auto"/>
                                      </w:divBdr>
                                      <w:divsChild>
                                        <w:div w:id="1785885234">
                                          <w:marLeft w:val="0"/>
                                          <w:marRight w:val="0"/>
                                          <w:marTop w:val="0"/>
                                          <w:marBottom w:val="0"/>
                                          <w:divBdr>
                                            <w:top w:val="none" w:sz="0" w:space="0" w:color="auto"/>
                                            <w:left w:val="none" w:sz="0" w:space="0" w:color="auto"/>
                                            <w:bottom w:val="none" w:sz="0" w:space="0" w:color="auto"/>
                                            <w:right w:val="none" w:sz="0" w:space="0" w:color="auto"/>
                                          </w:divBdr>
                                          <w:divsChild>
                                            <w:div w:id="900945021">
                                              <w:marLeft w:val="0"/>
                                              <w:marRight w:val="0"/>
                                              <w:marTop w:val="0"/>
                                              <w:marBottom w:val="0"/>
                                              <w:divBdr>
                                                <w:top w:val="none" w:sz="0" w:space="0" w:color="auto"/>
                                                <w:left w:val="none" w:sz="0" w:space="0" w:color="auto"/>
                                                <w:bottom w:val="none" w:sz="0" w:space="0" w:color="auto"/>
                                                <w:right w:val="none" w:sz="0" w:space="0" w:color="auto"/>
                                              </w:divBdr>
                                              <w:divsChild>
                                                <w:div w:id="2048329329">
                                                  <w:marLeft w:val="0"/>
                                                  <w:marRight w:val="0"/>
                                                  <w:marTop w:val="0"/>
                                                  <w:marBottom w:val="0"/>
                                                  <w:divBdr>
                                                    <w:top w:val="none" w:sz="0" w:space="0" w:color="auto"/>
                                                    <w:left w:val="none" w:sz="0" w:space="0" w:color="auto"/>
                                                    <w:bottom w:val="none" w:sz="0" w:space="0" w:color="auto"/>
                                                    <w:right w:val="none" w:sz="0" w:space="0" w:color="auto"/>
                                                  </w:divBdr>
                                                  <w:divsChild>
                                                    <w:div w:id="810751501">
                                                      <w:marLeft w:val="0"/>
                                                      <w:marRight w:val="0"/>
                                                      <w:marTop w:val="0"/>
                                                      <w:marBottom w:val="0"/>
                                                      <w:divBdr>
                                                        <w:top w:val="none" w:sz="0" w:space="0" w:color="auto"/>
                                                        <w:left w:val="none" w:sz="0" w:space="0" w:color="auto"/>
                                                        <w:bottom w:val="none" w:sz="0" w:space="0" w:color="auto"/>
                                                        <w:right w:val="none" w:sz="0" w:space="0" w:color="auto"/>
                                                      </w:divBdr>
                                                      <w:divsChild>
                                                        <w:div w:id="1994411738">
                                                          <w:marLeft w:val="0"/>
                                                          <w:marRight w:val="0"/>
                                                          <w:marTop w:val="0"/>
                                                          <w:marBottom w:val="0"/>
                                                          <w:divBdr>
                                                            <w:top w:val="none" w:sz="0" w:space="0" w:color="auto"/>
                                                            <w:left w:val="none" w:sz="0" w:space="0" w:color="auto"/>
                                                            <w:bottom w:val="none" w:sz="0" w:space="0" w:color="auto"/>
                                                            <w:right w:val="none" w:sz="0" w:space="0" w:color="auto"/>
                                                          </w:divBdr>
                                                          <w:divsChild>
                                                            <w:div w:id="332758074">
                                                              <w:marLeft w:val="0"/>
                                                              <w:marRight w:val="0"/>
                                                              <w:marTop w:val="0"/>
                                                              <w:marBottom w:val="0"/>
                                                              <w:divBdr>
                                                                <w:top w:val="none" w:sz="0" w:space="0" w:color="auto"/>
                                                                <w:left w:val="none" w:sz="0" w:space="0" w:color="auto"/>
                                                                <w:bottom w:val="none" w:sz="0" w:space="0" w:color="auto"/>
                                                                <w:right w:val="none" w:sz="0" w:space="0" w:color="auto"/>
                                                              </w:divBdr>
                                                              <w:divsChild>
                                                                <w:div w:id="1997490859">
                                                                  <w:marLeft w:val="-210"/>
                                                                  <w:marRight w:val="-75"/>
                                                                  <w:marTop w:val="0"/>
                                                                  <w:marBottom w:val="0"/>
                                                                  <w:divBdr>
                                                                    <w:top w:val="none" w:sz="0" w:space="0" w:color="auto"/>
                                                                    <w:left w:val="none" w:sz="0" w:space="0" w:color="auto"/>
                                                                    <w:bottom w:val="none" w:sz="0" w:space="0" w:color="auto"/>
                                                                    <w:right w:val="none" w:sz="0" w:space="0" w:color="auto"/>
                                                                  </w:divBdr>
                                                                  <w:divsChild>
                                                                    <w:div w:id="108478862">
                                                                      <w:marLeft w:val="0"/>
                                                                      <w:marRight w:val="0"/>
                                                                      <w:marTop w:val="0"/>
                                                                      <w:marBottom w:val="0"/>
                                                                      <w:divBdr>
                                                                        <w:top w:val="none" w:sz="0" w:space="0" w:color="auto"/>
                                                                        <w:left w:val="none" w:sz="0" w:space="0" w:color="auto"/>
                                                                        <w:bottom w:val="none" w:sz="0" w:space="0" w:color="auto"/>
                                                                        <w:right w:val="none" w:sz="0" w:space="0" w:color="auto"/>
                                                                      </w:divBdr>
                                                                      <w:divsChild>
                                                                        <w:div w:id="1994523668">
                                                                          <w:marLeft w:val="0"/>
                                                                          <w:marRight w:val="0"/>
                                                                          <w:marTop w:val="0"/>
                                                                          <w:marBottom w:val="0"/>
                                                                          <w:divBdr>
                                                                            <w:top w:val="none" w:sz="0" w:space="0" w:color="auto"/>
                                                                            <w:left w:val="none" w:sz="0" w:space="0" w:color="auto"/>
                                                                            <w:bottom w:val="none" w:sz="0" w:space="0" w:color="auto"/>
                                                                            <w:right w:val="none" w:sz="0" w:space="0" w:color="auto"/>
                                                                          </w:divBdr>
                                                                          <w:divsChild>
                                                                            <w:div w:id="1254246301">
                                                                              <w:marLeft w:val="0"/>
                                                                              <w:marRight w:val="0"/>
                                                                              <w:marTop w:val="0"/>
                                                                              <w:marBottom w:val="0"/>
                                                                              <w:divBdr>
                                                                                <w:top w:val="none" w:sz="0" w:space="0" w:color="auto"/>
                                                                                <w:left w:val="none" w:sz="0" w:space="0" w:color="auto"/>
                                                                                <w:bottom w:val="none" w:sz="0" w:space="0" w:color="auto"/>
                                                                                <w:right w:val="none" w:sz="0" w:space="0" w:color="auto"/>
                                                                              </w:divBdr>
                                                                              <w:divsChild>
                                                                                <w:div w:id="901251781">
                                                                                  <w:marLeft w:val="0"/>
                                                                                  <w:marRight w:val="0"/>
                                                                                  <w:marTop w:val="0"/>
                                                                                  <w:marBottom w:val="0"/>
                                                                                  <w:divBdr>
                                                                                    <w:top w:val="none" w:sz="0" w:space="0" w:color="auto"/>
                                                                                    <w:left w:val="none" w:sz="0" w:space="0" w:color="auto"/>
                                                                                    <w:bottom w:val="none" w:sz="0" w:space="0" w:color="auto"/>
                                                                                    <w:right w:val="none" w:sz="0" w:space="0" w:color="auto"/>
                                                                                  </w:divBdr>
                                                                                  <w:divsChild>
                                                                                    <w:div w:id="422145681">
                                                                                      <w:marLeft w:val="0"/>
                                                                                      <w:marRight w:val="0"/>
                                                                                      <w:marTop w:val="0"/>
                                                                                      <w:marBottom w:val="0"/>
                                                                                      <w:divBdr>
                                                                                        <w:top w:val="none" w:sz="0" w:space="0" w:color="auto"/>
                                                                                        <w:left w:val="none" w:sz="0" w:space="0" w:color="auto"/>
                                                                                        <w:bottom w:val="none" w:sz="0" w:space="0" w:color="auto"/>
                                                                                        <w:right w:val="none" w:sz="0" w:space="0" w:color="auto"/>
                                                                                      </w:divBdr>
                                                                                    </w:div>
                                                                                    <w:div w:id="480852860">
                                                                                      <w:marLeft w:val="0"/>
                                                                                      <w:marRight w:val="0"/>
                                                                                      <w:marTop w:val="0"/>
                                                                                      <w:marBottom w:val="0"/>
                                                                                      <w:divBdr>
                                                                                        <w:top w:val="none" w:sz="0" w:space="0" w:color="auto"/>
                                                                                        <w:left w:val="none" w:sz="0" w:space="0" w:color="auto"/>
                                                                                        <w:bottom w:val="none" w:sz="0" w:space="0" w:color="auto"/>
                                                                                        <w:right w:val="none" w:sz="0" w:space="0" w:color="auto"/>
                                                                                      </w:divBdr>
                                                                                    </w:div>
                                                                                    <w:div w:id="737635544">
                                                                                      <w:marLeft w:val="0"/>
                                                                                      <w:marRight w:val="0"/>
                                                                                      <w:marTop w:val="0"/>
                                                                                      <w:marBottom w:val="0"/>
                                                                                      <w:divBdr>
                                                                                        <w:top w:val="none" w:sz="0" w:space="0" w:color="auto"/>
                                                                                        <w:left w:val="none" w:sz="0" w:space="0" w:color="auto"/>
                                                                                        <w:bottom w:val="none" w:sz="0" w:space="0" w:color="auto"/>
                                                                                        <w:right w:val="none" w:sz="0" w:space="0" w:color="auto"/>
                                                                                      </w:divBdr>
                                                                                    </w:div>
                                                                                    <w:div w:id="785122063">
                                                                                      <w:marLeft w:val="0"/>
                                                                                      <w:marRight w:val="0"/>
                                                                                      <w:marTop w:val="0"/>
                                                                                      <w:marBottom w:val="0"/>
                                                                                      <w:divBdr>
                                                                                        <w:top w:val="none" w:sz="0" w:space="0" w:color="auto"/>
                                                                                        <w:left w:val="none" w:sz="0" w:space="0" w:color="auto"/>
                                                                                        <w:bottom w:val="none" w:sz="0" w:space="0" w:color="auto"/>
                                                                                        <w:right w:val="none" w:sz="0" w:space="0" w:color="auto"/>
                                                                                      </w:divBdr>
                                                                                    </w:div>
                                                                                    <w:div w:id="904756257">
                                                                                      <w:marLeft w:val="0"/>
                                                                                      <w:marRight w:val="0"/>
                                                                                      <w:marTop w:val="0"/>
                                                                                      <w:marBottom w:val="0"/>
                                                                                      <w:divBdr>
                                                                                        <w:top w:val="none" w:sz="0" w:space="0" w:color="auto"/>
                                                                                        <w:left w:val="none" w:sz="0" w:space="0" w:color="auto"/>
                                                                                        <w:bottom w:val="none" w:sz="0" w:space="0" w:color="auto"/>
                                                                                        <w:right w:val="none" w:sz="0" w:space="0" w:color="auto"/>
                                                                                      </w:divBdr>
                                                                                    </w:div>
                                                                                    <w:div w:id="1305047042">
                                                                                      <w:marLeft w:val="0"/>
                                                                                      <w:marRight w:val="0"/>
                                                                                      <w:marTop w:val="0"/>
                                                                                      <w:marBottom w:val="0"/>
                                                                                      <w:divBdr>
                                                                                        <w:top w:val="none" w:sz="0" w:space="0" w:color="auto"/>
                                                                                        <w:left w:val="none" w:sz="0" w:space="0" w:color="auto"/>
                                                                                        <w:bottom w:val="none" w:sz="0" w:space="0" w:color="auto"/>
                                                                                        <w:right w:val="none" w:sz="0" w:space="0" w:color="auto"/>
                                                                                      </w:divBdr>
                                                                                    </w:div>
                                                                                    <w:div w:id="15144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8319">
      <w:bodyDiv w:val="1"/>
      <w:marLeft w:val="0"/>
      <w:marRight w:val="0"/>
      <w:marTop w:val="0"/>
      <w:marBottom w:val="0"/>
      <w:divBdr>
        <w:top w:val="none" w:sz="0" w:space="0" w:color="auto"/>
        <w:left w:val="none" w:sz="0" w:space="0" w:color="auto"/>
        <w:bottom w:val="none" w:sz="0" w:space="0" w:color="auto"/>
        <w:right w:val="none" w:sz="0" w:space="0" w:color="auto"/>
      </w:divBdr>
    </w:div>
    <w:div w:id="1935088842">
      <w:bodyDiv w:val="1"/>
      <w:marLeft w:val="0"/>
      <w:marRight w:val="0"/>
      <w:marTop w:val="0"/>
      <w:marBottom w:val="0"/>
      <w:divBdr>
        <w:top w:val="none" w:sz="0" w:space="0" w:color="auto"/>
        <w:left w:val="none" w:sz="0" w:space="0" w:color="auto"/>
        <w:bottom w:val="none" w:sz="0" w:space="0" w:color="auto"/>
        <w:right w:val="none" w:sz="0" w:space="0" w:color="auto"/>
      </w:divBdr>
    </w:div>
    <w:div w:id="2072194095">
      <w:bodyDiv w:val="1"/>
      <w:marLeft w:val="0"/>
      <w:marRight w:val="0"/>
      <w:marTop w:val="0"/>
      <w:marBottom w:val="0"/>
      <w:divBdr>
        <w:top w:val="none" w:sz="0" w:space="0" w:color="auto"/>
        <w:left w:val="none" w:sz="0" w:space="0" w:color="auto"/>
        <w:bottom w:val="none" w:sz="0" w:space="0" w:color="auto"/>
        <w:right w:val="none" w:sz="0" w:space="0" w:color="auto"/>
      </w:divBdr>
    </w:div>
    <w:div w:id="2103261061">
      <w:bodyDiv w:val="1"/>
      <w:marLeft w:val="0"/>
      <w:marRight w:val="0"/>
      <w:marTop w:val="0"/>
      <w:marBottom w:val="0"/>
      <w:divBdr>
        <w:top w:val="none" w:sz="0" w:space="0" w:color="auto"/>
        <w:left w:val="none" w:sz="0" w:space="0" w:color="auto"/>
        <w:bottom w:val="none" w:sz="0" w:space="0" w:color="auto"/>
        <w:right w:val="none" w:sz="0" w:space="0" w:color="auto"/>
      </w:divBdr>
    </w:div>
    <w:div w:id="21409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ncyclopedia.chicagohistory.org/pages/1045.html" TargetMode="External"/><Relationship Id="rId26"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encyclopedia.chicagohistory.org/pages/883.html" TargetMode="External"/><Relationship Id="rId25" Type="http://schemas.openxmlformats.org/officeDocument/2006/relationships/hyperlink" Target="http://www.encyclopedia.chicagohistory.org/pages/27.html"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content/census/en/library/publications/2018/demo/p60-265.html" TargetMode="External"/><Relationship Id="rId24" Type="http://schemas.openxmlformats.org/officeDocument/2006/relationships/hyperlink" Target="http://www.encyclopedia.chicagohistory.org/pages/1045.html" TargetMode="External"/><Relationship Id="rId5" Type="http://schemas.openxmlformats.org/officeDocument/2006/relationships/numbering" Target="numbering.xml"/><Relationship Id="rId15" Type="http://schemas.openxmlformats.org/officeDocument/2006/relationships/hyperlink" Target="http://www.taxcreditsforworkingfamilies.org/wp-content/uploads/2014/03/" TargetMode="External"/><Relationship Id="rId23" Type="http://schemas.openxmlformats.org/officeDocument/2006/relationships/hyperlink" Target="http://www.encyclopedia.chicagohistory.org/pages/883.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ncyclopedia.chicagohistory.org/pages/2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pp.org/research/federal-tax/eitc-and-child-tax-credit-promote-work-reduce-poverty-and-support-children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cbpp.org/research/federal-tax/eitc-and-child-tax-credit-promote-work-reduce-poverty-and-support-childrens?fa=view&amp;id=3793" TargetMode="External"/><Relationship Id="rId13" Type="http://schemas.openxmlformats.org/officeDocument/2006/relationships/hyperlink" Target="http://www.cbpp.org/research/policy-basics-the-child-tax-credit" TargetMode="External"/><Relationship Id="rId3" Type="http://schemas.openxmlformats.org/officeDocument/2006/relationships/hyperlink" Target="http://www.taxpolicycenter.org/briefing-book/key-elements/family/eitc.cfm" TargetMode="External"/><Relationship Id="rId7" Type="http://schemas.openxmlformats.org/officeDocument/2006/relationships/hyperlink" Target="http://www.cbpp.org/research/policy-basics-the-earned-income-tax-credit" TargetMode="External"/><Relationship Id="rId12" Type="http://schemas.openxmlformats.org/officeDocument/2006/relationships/hyperlink" Target="https://itep.org/the-case-for-extending-state-level-child-tax-credits-to-those-left-out-a-50-state-analysis/" TargetMode="External"/><Relationship Id="rId2" Type="http://schemas.openxmlformats.org/officeDocument/2006/relationships/hyperlink" Target="http://www.taxcreditsforworkingfamilies.org/earned-income-tax-credit/" TargetMode="External"/><Relationship Id="rId1" Type="http://schemas.openxmlformats.org/officeDocument/2006/relationships/hyperlink" Target="https://www.census.gov/library/publications/2018/demo/p60-265.html" TargetMode="External"/><Relationship Id="rId6" Type="http://schemas.openxmlformats.org/officeDocument/2006/relationships/hyperlink" Target="https://www.taxpolicycenter.org/briefing-book/how-does-earned-income-tax-credit-affect-poor-families" TargetMode="External"/><Relationship Id="rId11" Type="http://schemas.openxmlformats.org/officeDocument/2006/relationships/hyperlink" Target="https://www.cbpp.org/research/federal-tax/policy-basics-the-child-tax-credit" TargetMode="External"/><Relationship Id="rId5" Type="http://schemas.openxmlformats.org/officeDocument/2006/relationships/hyperlink" Target="https://www.cbpp.org/research/federal-tax/policy-basics-the-earned-income-tax-credit" TargetMode="External"/><Relationship Id="rId10" Type="http://schemas.openxmlformats.org/officeDocument/2006/relationships/hyperlink" Target="http://www.cbpp.org/research/federal-tax/eitc-and-child-tax-credit-promote-work-reduce-poverty-and-support-childrens?fa=view&amp;id=3793" TargetMode="External"/><Relationship Id="rId4" Type="http://schemas.openxmlformats.org/officeDocument/2006/relationships/hyperlink" Target="http://www.taxpolicycenter.org/taxtopics/encyclopedia/EITC.cfm" TargetMode="External"/><Relationship Id="rId9" Type="http://schemas.openxmlformats.org/officeDocument/2006/relationships/hyperlink" Target="https://www.americanprogress.org/issues/poverty/report/2014/10/07/98452/harnessing-the-eitc-and-other-tax-credits-to-promote-financial-stability-and-economic-mobility/" TargetMode="External"/><Relationship Id="rId14" Type="http://schemas.openxmlformats.org/officeDocument/2006/relationships/hyperlink" Target="https://www.cbpp.org/research/federal-tax/new-tax-law-is-fundamentally-flawed-and-will-require-basic-restru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870989d31917cec3ab7ec6b0cb92b48c">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9618f2c0a7410779e25fd641f8ff861"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Meredith Dodson</DisplayName>
        <AccountId>64</AccountId>
        <AccountType/>
      </UserInfo>
      <UserInfo>
        <DisplayName>Funke Aderonmu</DisplayName>
        <AccountId>795</AccountId>
        <AccountType/>
      </UserInfo>
      <UserInfo>
        <DisplayName>Lakshmi Premysler</DisplayName>
        <AccountId>1151</AccountId>
        <AccountType/>
      </UserInfo>
      <UserInfo>
        <DisplayName>Estefany Sanabria</DisplayName>
        <AccountId>1009</AccountId>
        <AccountType/>
      </UserInfo>
      <UserInfo>
        <DisplayName>Mackenzie Aime</DisplayName>
        <AccountId>2671</AccountId>
        <AccountType/>
      </UserInfo>
      <UserInfo>
        <DisplayName>Jos Linn</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AB8F-E9B8-4619-B264-0F45624E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E70AE-EB0B-4F68-A638-5A1C5EBFFE4A}">
  <ds:schemaRefs>
    <ds:schemaRef ds:uri="http://schemas.microsoft.com/sharepoint/v3/contenttype/forms"/>
  </ds:schemaRefs>
</ds:datastoreItem>
</file>

<file path=customXml/itemProps3.xml><?xml version="1.0" encoding="utf-8"?>
<ds:datastoreItem xmlns:ds="http://schemas.openxmlformats.org/officeDocument/2006/customXml" ds:itemID="{6DD11E26-6DD7-4366-8A62-4AC4DDB59CEA}">
  <ds:schemaRefs>
    <ds:schemaRef ds:uri="http://schemas.microsoft.com/office/2006/metadata/properties"/>
    <ds:schemaRef ds:uri="http://schemas.microsoft.com/office/infopath/2007/PartnerControls"/>
    <ds:schemaRef ds:uri="876372d7-2542-4065-ad3b-22612840f7b4"/>
  </ds:schemaRefs>
</ds:datastoreItem>
</file>

<file path=customXml/itemProps4.xml><?xml version="1.0" encoding="utf-8"?>
<ds:datastoreItem xmlns:ds="http://schemas.openxmlformats.org/officeDocument/2006/customXml" ds:itemID="{103B2AC4-0711-4986-9F22-30C6E24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Funke Aderonmu</dc:creator>
  <cp:keywords/>
  <dc:description/>
  <cp:lastModifiedBy>Jos Linn</cp:lastModifiedBy>
  <cp:revision>2</cp:revision>
  <cp:lastPrinted>2018-12-03T17:25:00Z</cp:lastPrinted>
  <dcterms:created xsi:type="dcterms:W3CDTF">2019-06-07T21:01:00Z</dcterms:created>
  <dcterms:modified xsi:type="dcterms:W3CDTF">2019-06-07T21:01:00Z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