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765" w:rsidP="00241725" w:rsidRDefault="1A1451D1" w14:paraId="0433EA7A" w14:textId="1F1C89A7">
      <w:r>
        <w:t>FY2</w:t>
      </w:r>
      <w:r w:rsidR="46711D33">
        <w:t>7</w:t>
      </w:r>
      <w:r>
        <w:t xml:space="preserve"> Appropriations Cheat Sheet: </w:t>
      </w:r>
      <w:r w:rsidR="66775036">
        <w:t>Maternal and Child Health and Gavi</w:t>
      </w:r>
    </w:p>
    <w:p w:rsidR="5E53B25A" w:rsidP="0029790E" w:rsidRDefault="4285B5EC" w14:paraId="6DC24B8B" w14:textId="7AE86A84">
      <w:pPr>
        <w:pStyle w:val="Heading1"/>
        <w:spacing w:before="0" w:after="80" w:line="240" w:lineRule="auto"/>
      </w:pPr>
      <w:r>
        <w:t>FY2</w:t>
      </w:r>
      <w:r w:rsidR="31098788">
        <w:t>7</w:t>
      </w:r>
      <w:r>
        <w:t xml:space="preserve"> </w:t>
      </w:r>
      <w:r w:rsidR="1415F489">
        <w:t>NSRP/</w:t>
      </w:r>
      <w:r>
        <w:t xml:space="preserve">SFOPS programmatic request: </w:t>
      </w:r>
      <w:r w:rsidR="3CE1005C">
        <w:t xml:space="preserve">Maternal and Child Health </w:t>
      </w:r>
      <w:r w:rsidR="004431CB">
        <w:t xml:space="preserve">(MCH) </w:t>
      </w:r>
      <w:r w:rsidR="3CE1005C">
        <w:t>and Gavi</w:t>
      </w:r>
    </w:p>
    <w:p w:rsidR="413467AF" w:rsidP="413467AF" w:rsidRDefault="413467AF" w14:paraId="098487A3" w14:textId="32D79B07">
      <w:pPr>
        <w:rPr>
          <w:b/>
          <w:bCs/>
        </w:rPr>
      </w:pPr>
    </w:p>
    <w:p w:rsidR="1A2A7B65" w:rsidP="5130BB37" w:rsidRDefault="1A2A7B65" w14:paraId="6C33505C" w14:textId="54F1EE2E">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5130BB37" w:rsidR="1A2A7B65">
        <w:rPr>
          <w:rFonts w:ascii="Open Sans" w:hAnsi="Open Sans" w:eastAsia="Open Sans" w:cs="Open Sans"/>
          <w:b w:val="1"/>
          <w:bCs w:val="1"/>
          <w:i w:val="0"/>
          <w:iCs w:val="0"/>
          <w:caps w:val="0"/>
          <w:smallCaps w:val="0"/>
          <w:noProof w:val="0"/>
          <w:color w:val="000000" w:themeColor="text1" w:themeTint="FF" w:themeShade="FF"/>
          <w:sz w:val="22"/>
          <w:szCs w:val="22"/>
          <w:lang w:val="en-US"/>
        </w:rPr>
        <w:t>Bill/Subcommittee</w:t>
      </w:r>
      <w:r w:rsidRPr="5130BB37" w:rsidR="1A2A7B65">
        <w:rPr>
          <w:rFonts w:ascii="Open Sans" w:hAnsi="Open Sans" w:eastAsia="Open Sans" w:cs="Open Sans"/>
          <w:b w:val="0"/>
          <w:bCs w:val="0"/>
          <w:i w:val="0"/>
          <w:iCs w:val="0"/>
          <w:caps w:val="0"/>
          <w:smallCaps w:val="0"/>
          <w:noProof w:val="0"/>
          <w:color w:val="000000" w:themeColor="text1" w:themeTint="FF" w:themeShade="FF"/>
          <w:sz w:val="22"/>
          <w:szCs w:val="22"/>
          <w:lang w:val="en-US"/>
        </w:rPr>
        <w:t>: State, Foreign Operations, and Related Programs (SFOPS) / National Security, Department of State, and Related Programs (NSRP)</w:t>
      </w:r>
    </w:p>
    <w:p w:rsidR="1A2A7B65" w:rsidP="5130BB37" w:rsidRDefault="1A2A7B65" w14:paraId="0848B1E0" w14:textId="65DB966E">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5130BB37" w:rsidR="1A2A7B65">
        <w:rPr>
          <w:rFonts w:ascii="Open Sans" w:hAnsi="Open Sans" w:eastAsia="Open Sans" w:cs="Open Sans"/>
          <w:b w:val="1"/>
          <w:bCs w:val="1"/>
          <w:i w:val="0"/>
          <w:iCs w:val="0"/>
          <w:caps w:val="0"/>
          <w:smallCaps w:val="0"/>
          <w:noProof w:val="0"/>
          <w:color w:val="000000" w:themeColor="text1" w:themeTint="FF" w:themeShade="FF"/>
          <w:sz w:val="22"/>
          <w:szCs w:val="22"/>
          <w:lang w:val="en-US"/>
        </w:rPr>
        <w:t>Department</w:t>
      </w:r>
      <w:r w:rsidRPr="5130BB37" w:rsidR="1A2A7B65">
        <w:rPr>
          <w:rFonts w:ascii="Open Sans" w:hAnsi="Open Sans" w:eastAsia="Open Sans" w:cs="Open Sans"/>
          <w:b w:val="0"/>
          <w:bCs w:val="0"/>
          <w:i w:val="0"/>
          <w:iCs w:val="0"/>
          <w:caps w:val="0"/>
          <w:smallCaps w:val="0"/>
          <w:noProof w:val="0"/>
          <w:color w:val="000000" w:themeColor="text1" w:themeTint="FF" w:themeShade="FF"/>
          <w:sz w:val="22"/>
          <w:szCs w:val="22"/>
          <w:lang w:val="en-US"/>
        </w:rPr>
        <w:t>: State</w:t>
      </w:r>
    </w:p>
    <w:p w:rsidR="1A2A7B65" w:rsidP="5130BB37" w:rsidRDefault="1A2A7B65" w14:paraId="6C9439DC" w14:textId="167EF595">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5130BB37" w:rsidR="1A2A7B65">
        <w:rPr>
          <w:rFonts w:ascii="Open Sans" w:hAnsi="Open Sans" w:eastAsia="Open Sans" w:cs="Open Sans"/>
          <w:b w:val="1"/>
          <w:bCs w:val="1"/>
          <w:i w:val="0"/>
          <w:iCs w:val="0"/>
          <w:caps w:val="0"/>
          <w:smallCaps w:val="0"/>
          <w:noProof w:val="0"/>
          <w:color w:val="000000" w:themeColor="text1" w:themeTint="FF" w:themeShade="FF"/>
          <w:sz w:val="22"/>
          <w:szCs w:val="22"/>
          <w:lang w:val="en-US"/>
        </w:rPr>
        <w:t>Agency</w:t>
      </w:r>
      <w:r w:rsidRPr="5130BB37" w:rsidR="1A2A7B65">
        <w:rPr>
          <w:rFonts w:ascii="Open Sans" w:hAnsi="Open Sans" w:eastAsia="Open Sans" w:cs="Open Sans"/>
          <w:b w:val="0"/>
          <w:bCs w:val="0"/>
          <w:i w:val="0"/>
          <w:iCs w:val="0"/>
          <w:caps w:val="0"/>
          <w:smallCaps w:val="0"/>
          <w:noProof w:val="0"/>
          <w:color w:val="000000" w:themeColor="text1" w:themeTint="FF" w:themeShade="FF"/>
          <w:sz w:val="22"/>
          <w:szCs w:val="22"/>
          <w:lang w:val="en-US"/>
        </w:rPr>
        <w:t>: Global Health Programs</w:t>
      </w:r>
    </w:p>
    <w:p w:rsidR="1A2A7B65" w:rsidP="5130BB37" w:rsidRDefault="1A2A7B65" w14:paraId="31EC3E96" w14:textId="6BE656A1">
      <w:pPr>
        <w:pStyle w:val="Normal"/>
        <w:spacing w:before="120" w:after="120" w:line="276" w:lineRule="auto"/>
      </w:pPr>
      <w:r w:rsidRPr="5130BB37" w:rsidR="1A2A7B65">
        <w:rPr>
          <w:rFonts w:ascii="Open Sans" w:hAnsi="Open Sans" w:eastAsia="Open Sans" w:cs="Open Sans"/>
          <w:b w:val="1"/>
          <w:bCs w:val="1"/>
          <w:i w:val="0"/>
          <w:iCs w:val="0"/>
          <w:caps w:val="0"/>
          <w:smallCaps w:val="0"/>
          <w:noProof w:val="0"/>
          <w:color w:val="000000" w:themeColor="text1" w:themeTint="FF" w:themeShade="FF"/>
          <w:sz w:val="22"/>
          <w:szCs w:val="22"/>
          <w:lang w:val="en-US"/>
        </w:rPr>
        <w:t>Account/Bureau</w:t>
      </w:r>
      <w:r w:rsidRPr="5130BB37" w:rsidR="1A2A7B65">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r w:rsidR="1A2A7B65">
        <w:rPr/>
        <w:t>Maternal and Child Health, including Gavi, the Vaccine Alliance</w:t>
      </w:r>
    </w:p>
    <w:p w:rsidRPr="00024E60" w:rsidR="00B911D3" w:rsidP="00B911D3" w:rsidRDefault="371D1864" w14:paraId="21F8A425" w14:textId="1B4FBD1E">
      <w:r w:rsidRPr="413467AF">
        <w:rPr>
          <w:b/>
          <w:bCs/>
        </w:rPr>
        <w:t>Type</w:t>
      </w:r>
      <w:r w:rsidRPr="413467AF" w:rsidR="7C751A33">
        <w:rPr>
          <w:b/>
          <w:bCs/>
        </w:rPr>
        <w:t xml:space="preserve"> of request</w:t>
      </w:r>
      <w:r>
        <w:t xml:space="preserve">: </w:t>
      </w:r>
      <w:r w:rsidR="1CD62347">
        <w:t>Funding</w:t>
      </w:r>
      <w:r w:rsidR="3375C983">
        <w:t>/Programmatic</w:t>
      </w:r>
    </w:p>
    <w:p w:rsidRPr="00024E60" w:rsidR="00B911D3" w:rsidP="36D643B0" w:rsidRDefault="154990C8" w14:paraId="45E4C469" w14:textId="220C72BB">
      <w:pPr>
        <w:rPr>
          <w:b/>
          <w:bCs/>
          <w:i/>
          <w:iCs/>
          <w:highlight w:val="yellow"/>
        </w:rPr>
      </w:pPr>
      <w:r w:rsidRPr="36D643B0">
        <w:rPr>
          <w:b/>
          <w:bCs/>
        </w:rPr>
        <w:t xml:space="preserve">Your suggested FY27 level request: </w:t>
      </w:r>
      <w:r w:rsidRPr="36D643B0">
        <w:rPr>
          <w:b/>
          <w:bCs/>
          <w:i/>
          <w:iCs/>
          <w:highlight w:val="yellow"/>
        </w:rPr>
        <w:t>$1.15 billion, of which $340 million for Gavi</w:t>
      </w:r>
      <w:r w:rsidRPr="36D643B0">
        <w:rPr>
          <w:b/>
          <w:bCs/>
        </w:rPr>
        <w:t xml:space="preserve"> </w:t>
      </w:r>
    </w:p>
    <w:p w:rsidRPr="00024E60" w:rsidR="00B911D3" w:rsidP="00B911D3" w:rsidRDefault="371D1864" w14:paraId="0A570BFC" w14:textId="25DC562C">
      <w:r w:rsidRPr="5130BB37" w:rsidR="371D1864">
        <w:rPr>
          <w:b w:val="1"/>
          <w:bCs w:val="1"/>
        </w:rPr>
        <w:t>FY2</w:t>
      </w:r>
      <w:r w:rsidRPr="5130BB37" w:rsidR="62CBC6C7">
        <w:rPr>
          <w:b w:val="1"/>
          <w:bCs w:val="1"/>
        </w:rPr>
        <w:t xml:space="preserve">7 </w:t>
      </w:r>
      <w:r w:rsidRPr="5130BB37" w:rsidR="371D1864">
        <w:rPr>
          <w:b w:val="1"/>
          <w:bCs w:val="1"/>
        </w:rPr>
        <w:t>President’s Budget Request</w:t>
      </w:r>
      <w:r w:rsidR="371D1864">
        <w:rPr/>
        <w:t xml:space="preserve">: </w:t>
      </w:r>
      <w:r w:rsidR="3A8F41C4">
        <w:rPr/>
        <w:t>TBD</w:t>
      </w:r>
    </w:p>
    <w:p w:rsidR="4F0E2987" w:rsidRDefault="4F0E2987" w14:paraId="3C84BD49" w14:textId="015A07A9">
      <w:r w:rsidRPr="5130BB37" w:rsidR="4F0E2987">
        <w:rPr>
          <w:b w:val="1"/>
          <w:bCs w:val="1"/>
        </w:rPr>
        <w:t>FY26 President’s Budget Request</w:t>
      </w:r>
      <w:r w:rsidR="4F0E2987">
        <w:rPr/>
        <w:t>: $85 million, of which $0 for Gavi</w:t>
      </w:r>
    </w:p>
    <w:p w:rsidR="7A6EEF72" w:rsidP="36D643B0" w:rsidRDefault="7A6EEF72" w14:paraId="606C23EE" w14:textId="04762116">
      <w:r w:rsidRPr="36D643B0">
        <w:rPr>
          <w:b/>
          <w:bCs/>
        </w:rPr>
        <w:t>FY26 enacted level</w:t>
      </w:r>
      <w:r>
        <w:t>: $915 million, of which $300 million for Gavi</w:t>
      </w:r>
    </w:p>
    <w:p w:rsidR="7A6EEF72" w:rsidP="36D643B0" w:rsidRDefault="7A6EEF72" w14:paraId="049439A0" w14:textId="044E14FA">
      <w:r w:rsidRPr="36D643B0">
        <w:rPr>
          <w:b/>
          <w:bCs/>
        </w:rPr>
        <w:t>FY26 House level</w:t>
      </w:r>
      <w:r>
        <w:t>:</w:t>
      </w:r>
      <w:r w:rsidR="26E763E4">
        <w:t xml:space="preserve"> $915 million, of which $300 million for Gavi</w:t>
      </w:r>
    </w:p>
    <w:p w:rsidR="7A6EEF72" w:rsidP="36D643B0" w:rsidRDefault="7A6EEF72" w14:paraId="07CFC788" w14:textId="1F653151">
      <w:r w:rsidRPr="36D643B0">
        <w:rPr>
          <w:b/>
          <w:bCs/>
        </w:rPr>
        <w:t>FY26 Senate level</w:t>
      </w:r>
      <w:r>
        <w:t>:</w:t>
      </w:r>
      <w:r w:rsidR="0F4A982F">
        <w:t xml:space="preserve"> $915 million, of which $300 million for Gavi</w:t>
      </w:r>
    </w:p>
    <w:p w:rsidR="371D1864" w:rsidRDefault="371D1864" w14:paraId="492444B3" w14:textId="39BAA01C">
      <w:r w:rsidRPr="36D643B0">
        <w:rPr>
          <w:b/>
          <w:bCs/>
        </w:rPr>
        <w:t>FY25 enacted level</w:t>
      </w:r>
      <w:r>
        <w:t>:</w:t>
      </w:r>
      <w:r w:rsidR="79B8B5AE">
        <w:t xml:space="preserve"> </w:t>
      </w:r>
      <w:r w:rsidR="47D0EBA9">
        <w:t>$915 million, of which $300 million for Gav</w:t>
      </w:r>
      <w:r w:rsidR="62207899">
        <w:t>i</w:t>
      </w:r>
    </w:p>
    <w:p w:rsidRPr="00024E60" w:rsidR="00B911D3" w:rsidP="485000E5" w:rsidRDefault="371D1864" w14:paraId="1D707D31" w14:textId="59C6242A">
      <w:r w:rsidRPr="413467AF">
        <w:rPr>
          <w:b/>
          <w:bCs/>
        </w:rPr>
        <w:t>FY24 enacted level</w:t>
      </w:r>
      <w:r>
        <w:t>:</w:t>
      </w:r>
      <w:r w:rsidR="00BBC257">
        <w:t xml:space="preserve"> </w:t>
      </w:r>
      <w:r w:rsidR="0BE5AD50">
        <w:t>$915 million, of which $300 million for Gavi</w:t>
      </w:r>
    </w:p>
    <w:p w:rsidR="413467AF" w:rsidP="413467AF" w:rsidRDefault="413467AF" w14:paraId="0E864E5F" w14:textId="77F66ACE">
      <w:pPr>
        <w:rPr>
          <w:b/>
          <w:bCs/>
        </w:rPr>
      </w:pPr>
    </w:p>
    <w:p w:rsidR="00B911D3" w:rsidP="36D643B0" w:rsidRDefault="22927960" w14:paraId="2F94C766" w14:textId="2BA97C98">
      <w:pPr>
        <w:rPr>
          <w:b/>
          <w:bCs/>
        </w:rPr>
      </w:pPr>
      <w:r w:rsidRPr="36D643B0">
        <w:rPr>
          <w:b/>
          <w:bCs/>
        </w:rPr>
        <w:t>Rationale/Justification</w:t>
      </w:r>
      <w:r>
        <w:t>:</w:t>
      </w:r>
    </w:p>
    <w:p w:rsidRPr="00024E60" w:rsidR="00024F92" w:rsidP="36D643B0" w:rsidRDefault="7D735928" w14:paraId="32035041" w14:textId="3F85BE36">
      <w:pPr>
        <w:rPr>
          <w:rFonts w:eastAsia="Open Sans" w:cs="Open Sans"/>
          <w:color w:val="000000" w:themeColor="text1"/>
          <w:szCs w:val="22"/>
        </w:rPr>
      </w:pPr>
      <w:r>
        <w:t xml:space="preserve">Global </w:t>
      </w:r>
      <w:proofErr w:type="gramStart"/>
      <w:r>
        <w:t>maternal</w:t>
      </w:r>
      <w:proofErr w:type="gramEnd"/>
      <w:r>
        <w:t xml:space="preserve">, infant, and child deaths are unacceptably high, especially in low-income countries. Every day, around 800 women die from lack of basic health care for pregnancy and birth. </w:t>
      </w:r>
      <w:r w:rsidRPr="36D643B0">
        <w:rPr>
          <w:rFonts w:eastAsia="Open Sans" w:cs="Open Sans"/>
          <w:color w:val="000000" w:themeColor="text1"/>
          <w:szCs w:val="22"/>
        </w:rPr>
        <w:t xml:space="preserve">For the first time this century, the number of children dying before their fifth birthday has risen. Almost 5 million young children died in 2025, and 300,000 women die </w:t>
      </w:r>
      <w:r w:rsidRPr="36D643B0">
        <w:rPr>
          <w:rFonts w:eastAsia="Open Sans" w:cs="Open Sans"/>
          <w:color w:val="000000" w:themeColor="text1"/>
          <w:szCs w:val="22"/>
          <w:lang w:val="en"/>
        </w:rPr>
        <w:t>annually of preventable causes related to pregnancy and childbirth. Additional</w:t>
      </w:r>
      <w:r w:rsidRPr="36D643B0" w:rsidR="00E0FE9E">
        <w:rPr>
          <w:rFonts w:eastAsia="Open Sans" w:cs="Open Sans"/>
          <w:color w:val="000000" w:themeColor="text1"/>
          <w:szCs w:val="22"/>
          <w:lang w:val="en"/>
        </w:rPr>
        <w:t xml:space="preserve"> </w:t>
      </w:r>
      <w:r w:rsidRPr="36D643B0">
        <w:rPr>
          <w:rFonts w:eastAsia="Open Sans" w:cs="Open Sans"/>
          <w:color w:val="000000" w:themeColor="text1"/>
          <w:szCs w:val="22"/>
          <w:lang w:val="en"/>
        </w:rPr>
        <w:t>investments</w:t>
      </w:r>
      <w:r w:rsidRPr="36D643B0" w:rsidR="4012C583">
        <w:rPr>
          <w:rFonts w:eastAsia="Open Sans" w:cs="Open Sans"/>
          <w:color w:val="000000" w:themeColor="text1"/>
          <w:szCs w:val="22"/>
          <w:lang w:val="en"/>
        </w:rPr>
        <w:t xml:space="preserve"> </w:t>
      </w:r>
      <w:r w:rsidRPr="00863A92" w:rsidR="00863A92">
        <w:rPr>
          <w:rFonts w:eastAsia="Open Sans" w:cs="Open Sans"/>
          <w:color w:val="000000" w:themeColor="text1"/>
          <w:szCs w:val="22"/>
        </w:rPr>
        <w:t>in core maternal and child health</w:t>
      </w:r>
      <w:r w:rsidR="00AA09C3">
        <w:rPr>
          <w:rFonts w:eastAsia="Open Sans" w:cs="Open Sans"/>
          <w:color w:val="000000" w:themeColor="text1"/>
          <w:szCs w:val="22"/>
        </w:rPr>
        <w:t>,</w:t>
      </w:r>
      <w:r w:rsidRPr="00863A92" w:rsidR="00863A92">
        <w:rPr>
          <w:rFonts w:eastAsia="Open Sans" w:cs="Open Sans"/>
          <w:color w:val="000000" w:themeColor="text1"/>
          <w:szCs w:val="22"/>
        </w:rPr>
        <w:t xml:space="preserve"> alongside critical nutrition programs</w:t>
      </w:r>
      <w:r w:rsidR="00AA09C3">
        <w:rPr>
          <w:rFonts w:eastAsia="Open Sans" w:cs="Open Sans"/>
          <w:color w:val="000000" w:themeColor="text1"/>
          <w:szCs w:val="22"/>
        </w:rPr>
        <w:t>,</w:t>
      </w:r>
      <w:r w:rsidRPr="00863A92" w:rsidR="00863A92">
        <w:rPr>
          <w:rFonts w:eastAsia="Open Sans" w:cs="Open Sans"/>
          <w:color w:val="000000" w:themeColor="text1"/>
          <w:szCs w:val="22"/>
        </w:rPr>
        <w:t xml:space="preserve"> are key to </w:t>
      </w:r>
      <w:r w:rsidR="00AA09C3">
        <w:rPr>
          <w:rFonts w:eastAsia="Open Sans" w:cs="Open Sans"/>
          <w:color w:val="000000" w:themeColor="text1"/>
          <w:szCs w:val="22"/>
        </w:rPr>
        <w:t>delivering on</w:t>
      </w:r>
      <w:r w:rsidRPr="00863A92" w:rsidR="00863A92">
        <w:rPr>
          <w:rFonts w:eastAsia="Open Sans" w:cs="Open Sans"/>
          <w:color w:val="000000" w:themeColor="text1"/>
          <w:szCs w:val="22"/>
        </w:rPr>
        <w:t xml:space="preserve"> each of </w:t>
      </w:r>
      <w:r w:rsidR="00AA09C3">
        <w:rPr>
          <w:rFonts w:eastAsia="Open Sans" w:cs="Open Sans"/>
          <w:color w:val="000000" w:themeColor="text1"/>
          <w:szCs w:val="22"/>
        </w:rPr>
        <w:t>the</w:t>
      </w:r>
      <w:r w:rsidRPr="00863A92" w:rsidR="00863A92">
        <w:rPr>
          <w:rFonts w:eastAsia="Open Sans" w:cs="Open Sans"/>
          <w:color w:val="000000" w:themeColor="text1"/>
          <w:szCs w:val="22"/>
        </w:rPr>
        <w:t xml:space="preserve"> three pillars</w:t>
      </w:r>
      <w:r w:rsidR="00AA09C3">
        <w:rPr>
          <w:rFonts w:eastAsia="Open Sans" w:cs="Open Sans"/>
          <w:color w:val="000000" w:themeColor="text1"/>
          <w:szCs w:val="22"/>
        </w:rPr>
        <w:t xml:space="preserve"> of the new America First Global Health Strategy. </w:t>
      </w:r>
    </w:p>
    <w:p w:rsidRPr="00024E60" w:rsidR="00024F92" w:rsidP="36D643B0" w:rsidRDefault="0A34367C" w14:paraId="4361DE31" w14:textId="106B9C08">
      <w:pPr>
        <w:rPr>
          <w:rFonts w:eastAsia="Open Sans" w:cs="Open Sans"/>
          <w:color w:val="000000" w:themeColor="text1"/>
          <w:szCs w:val="22"/>
        </w:rPr>
      </w:pPr>
      <w:r w:rsidRPr="36D643B0">
        <w:rPr>
          <w:rFonts w:eastAsia="Open Sans" w:cs="Open Sans"/>
          <w:color w:val="000000" w:themeColor="text1"/>
          <w:szCs w:val="22"/>
        </w:rPr>
        <w:lastRenderedPageBreak/>
        <w:t xml:space="preserve">Gavi, the Vaccine Alliance has helped vaccinate </w:t>
      </w:r>
      <w:r w:rsidRPr="36D643B0">
        <w:rPr>
          <w:rFonts w:eastAsia="Open Sans" w:cs="Open Sans"/>
          <w:szCs w:val="22"/>
        </w:rPr>
        <w:t>over 1.2 billion children</w:t>
      </w:r>
      <w:r w:rsidRPr="36D643B0">
        <w:rPr>
          <w:rFonts w:eastAsia="Open Sans" w:cs="Open Sans"/>
          <w:color w:val="000000" w:themeColor="text1"/>
          <w:szCs w:val="22"/>
        </w:rPr>
        <w:t>, preventing more than 20.6 million deaths. Vaccines are one of the most cost-effective interventions to save lives and prevent illness. In 2024, the U.S. made a historic pledge of at least $1.58 billion over five years, which was upheld by Congress in FY26. A bold commitment from Congress in FY27 will bring other donors to the table.</w:t>
      </w:r>
    </w:p>
    <w:p w:rsidRPr="00024E60" w:rsidR="00024F92" w:rsidP="36D643B0" w:rsidRDefault="0A34367C" w14:paraId="26C8265D" w14:textId="03D66CEA">
      <w:pPr>
        <w:rPr>
          <w:rFonts w:eastAsia="Open Sans" w:cs="Open Sans"/>
          <w:color w:val="000000" w:themeColor="text1"/>
          <w:szCs w:val="22"/>
        </w:rPr>
      </w:pPr>
      <w:r w:rsidRPr="36D643B0">
        <w:rPr>
          <w:rFonts w:eastAsia="Open Sans" w:cs="Open Sans"/>
          <w:color w:val="000000" w:themeColor="text1"/>
          <w:szCs w:val="22"/>
        </w:rPr>
        <w:t>U.S. foreign aid and Gavi, the Vaccine Alliance have a strong record. In 2023 alone, U.S. support helped more than 92 million women and children access essential care. Since 2000, there has been a 55 percent decrease in under-five child mortality and a 42 percent decline in maternal mortality across countries prioritized for investment. These high-impact, evidence-based interventions are some of the “best buys” in international development. They must be prioritized in U.S. foreign aid.</w:t>
      </w:r>
      <w:r>
        <w:t xml:space="preserve"> Global health programs and the fight against infectious diseases keep us all safe and increase economic stability around the world. </w:t>
      </w:r>
    </w:p>
    <w:p w:rsidR="485000E5" w:rsidP="36D643B0" w:rsidRDefault="371D1864" w14:paraId="7042BB94" w14:textId="3D7D2400">
      <w:r w:rsidRPr="709A5DDF">
        <w:rPr>
          <w:b/>
          <w:bCs/>
        </w:rPr>
        <w:t>Additional Information</w:t>
      </w:r>
      <w:r>
        <w:t>:</w:t>
      </w:r>
      <w:r w:rsidR="701C923B">
        <w:t xml:space="preserve"> </w:t>
      </w:r>
      <w:hyperlink r:id="rId11">
        <w:r w:rsidRPr="709A5DDF" w:rsidR="6CE49769">
          <w:rPr>
            <w:rStyle w:val="Hyperlink"/>
          </w:rPr>
          <w:t>https://results.org/wp-content/uploads/FY27-MCH-Gavi-Nutrition-Appropriations-Memo.pdf</w:t>
        </w:r>
      </w:hyperlink>
    </w:p>
    <w:p w:rsidR="6DDFEE14" w:rsidP="709A5DDF" w:rsidRDefault="6DDFEE14" w14:paraId="3A7D8BB0" w14:textId="30809CA6"/>
    <w:p w:rsidR="00274618" w:rsidP="709A5DDF" w:rsidRDefault="00274618" w14:paraId="4730BDDF" w14:textId="77777777">
      <w:pPr>
        <w:rPr>
          <w:highlight w:val="yellow"/>
        </w:rPr>
      </w:pPr>
    </w:p>
    <w:p w:rsidR="6DDFEE14" w:rsidP="413467AF" w:rsidRDefault="663103F0" w14:paraId="7BEA663F" w14:textId="2442D79D">
      <w:pPr>
        <w:pStyle w:val="Heading1"/>
        <w:spacing w:before="0" w:after="80" w:line="240" w:lineRule="auto"/>
      </w:pPr>
      <w:r>
        <w:t>FY2</w:t>
      </w:r>
      <w:r w:rsidR="61B0F935">
        <w:t>7</w:t>
      </w:r>
      <w:r>
        <w:t xml:space="preserve"> </w:t>
      </w:r>
      <w:r w:rsidR="43A6FA04">
        <w:t>NSRP/</w:t>
      </w:r>
      <w:r>
        <w:t>SFOPS language request: Maternal and Child Health</w:t>
      </w:r>
      <w:r w:rsidR="00C130C4">
        <w:t xml:space="preserve"> (MCH) and Gavi</w:t>
      </w:r>
    </w:p>
    <w:p w:rsidR="413467AF" w:rsidP="413467AF" w:rsidRDefault="413467AF" w14:paraId="10F72B36" w14:textId="2DB709DB">
      <w:pPr>
        <w:rPr>
          <w:b/>
          <w:bCs/>
        </w:rPr>
      </w:pPr>
    </w:p>
    <w:p w:rsidR="462CA174" w:rsidP="5130BB37" w:rsidRDefault="462CA174" w14:paraId="173BA3EA" w14:textId="54F1EE2E">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5130BB37" w:rsidR="462CA174">
        <w:rPr>
          <w:rFonts w:ascii="Open Sans" w:hAnsi="Open Sans" w:eastAsia="Open Sans" w:cs="Open Sans"/>
          <w:b w:val="1"/>
          <w:bCs w:val="1"/>
          <w:i w:val="0"/>
          <w:iCs w:val="0"/>
          <w:caps w:val="0"/>
          <w:smallCaps w:val="0"/>
          <w:noProof w:val="0"/>
          <w:color w:val="000000" w:themeColor="text1" w:themeTint="FF" w:themeShade="FF"/>
          <w:sz w:val="22"/>
          <w:szCs w:val="22"/>
          <w:lang w:val="en-US"/>
        </w:rPr>
        <w:t>Bill/Subcommittee</w:t>
      </w:r>
      <w:r w:rsidRPr="5130BB37" w:rsidR="462CA174">
        <w:rPr>
          <w:rFonts w:ascii="Open Sans" w:hAnsi="Open Sans" w:eastAsia="Open Sans" w:cs="Open Sans"/>
          <w:b w:val="0"/>
          <w:bCs w:val="0"/>
          <w:i w:val="0"/>
          <w:iCs w:val="0"/>
          <w:caps w:val="0"/>
          <w:smallCaps w:val="0"/>
          <w:noProof w:val="0"/>
          <w:color w:val="000000" w:themeColor="text1" w:themeTint="FF" w:themeShade="FF"/>
          <w:sz w:val="22"/>
          <w:szCs w:val="22"/>
          <w:lang w:val="en-US"/>
        </w:rPr>
        <w:t>: State, Foreign Operations, and Related Programs (SFOPS) / National Security, Department of State, and Related Programs (NSRP)</w:t>
      </w:r>
    </w:p>
    <w:p w:rsidR="462CA174" w:rsidP="5130BB37" w:rsidRDefault="462CA174" w14:paraId="1435ADAA" w14:textId="65DB966E">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5130BB37" w:rsidR="462CA174">
        <w:rPr>
          <w:rFonts w:ascii="Open Sans" w:hAnsi="Open Sans" w:eastAsia="Open Sans" w:cs="Open Sans"/>
          <w:b w:val="1"/>
          <w:bCs w:val="1"/>
          <w:i w:val="0"/>
          <w:iCs w:val="0"/>
          <w:caps w:val="0"/>
          <w:smallCaps w:val="0"/>
          <w:noProof w:val="0"/>
          <w:color w:val="000000" w:themeColor="text1" w:themeTint="FF" w:themeShade="FF"/>
          <w:sz w:val="22"/>
          <w:szCs w:val="22"/>
          <w:lang w:val="en-US"/>
        </w:rPr>
        <w:t>Department</w:t>
      </w:r>
      <w:r w:rsidRPr="5130BB37" w:rsidR="462CA174">
        <w:rPr>
          <w:rFonts w:ascii="Open Sans" w:hAnsi="Open Sans" w:eastAsia="Open Sans" w:cs="Open Sans"/>
          <w:b w:val="0"/>
          <w:bCs w:val="0"/>
          <w:i w:val="0"/>
          <w:iCs w:val="0"/>
          <w:caps w:val="0"/>
          <w:smallCaps w:val="0"/>
          <w:noProof w:val="0"/>
          <w:color w:val="000000" w:themeColor="text1" w:themeTint="FF" w:themeShade="FF"/>
          <w:sz w:val="22"/>
          <w:szCs w:val="22"/>
          <w:lang w:val="en-US"/>
        </w:rPr>
        <w:t>: State</w:t>
      </w:r>
    </w:p>
    <w:p w:rsidR="462CA174" w:rsidP="5130BB37" w:rsidRDefault="462CA174" w14:paraId="0AD317F5" w14:textId="167EF595">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5130BB37" w:rsidR="462CA174">
        <w:rPr>
          <w:rFonts w:ascii="Open Sans" w:hAnsi="Open Sans" w:eastAsia="Open Sans" w:cs="Open Sans"/>
          <w:b w:val="1"/>
          <w:bCs w:val="1"/>
          <w:i w:val="0"/>
          <w:iCs w:val="0"/>
          <w:caps w:val="0"/>
          <w:smallCaps w:val="0"/>
          <w:noProof w:val="0"/>
          <w:color w:val="000000" w:themeColor="text1" w:themeTint="FF" w:themeShade="FF"/>
          <w:sz w:val="22"/>
          <w:szCs w:val="22"/>
          <w:lang w:val="en-US"/>
        </w:rPr>
        <w:t>Agency</w:t>
      </w:r>
      <w:r w:rsidRPr="5130BB37" w:rsidR="462CA174">
        <w:rPr>
          <w:rFonts w:ascii="Open Sans" w:hAnsi="Open Sans" w:eastAsia="Open Sans" w:cs="Open Sans"/>
          <w:b w:val="0"/>
          <w:bCs w:val="0"/>
          <w:i w:val="0"/>
          <w:iCs w:val="0"/>
          <w:caps w:val="0"/>
          <w:smallCaps w:val="0"/>
          <w:noProof w:val="0"/>
          <w:color w:val="000000" w:themeColor="text1" w:themeTint="FF" w:themeShade="FF"/>
          <w:sz w:val="22"/>
          <w:szCs w:val="22"/>
          <w:lang w:val="en-US"/>
        </w:rPr>
        <w:t>: Global Health Programs</w:t>
      </w:r>
    </w:p>
    <w:p w:rsidR="462CA174" w:rsidP="5130BB37" w:rsidRDefault="462CA174" w14:paraId="760A1690" w14:textId="73B9E5CD">
      <w:pPr>
        <w:pStyle w:val="Normal"/>
        <w:spacing w:before="120" w:after="120" w:line="276" w:lineRule="auto"/>
      </w:pPr>
      <w:r w:rsidRPr="5130BB37" w:rsidR="462CA174">
        <w:rPr>
          <w:rFonts w:ascii="Open Sans" w:hAnsi="Open Sans" w:eastAsia="Open Sans" w:cs="Open Sans"/>
          <w:b w:val="1"/>
          <w:bCs w:val="1"/>
          <w:i w:val="0"/>
          <w:iCs w:val="0"/>
          <w:caps w:val="0"/>
          <w:smallCaps w:val="0"/>
          <w:noProof w:val="0"/>
          <w:color w:val="000000" w:themeColor="text1" w:themeTint="FF" w:themeShade="FF"/>
          <w:sz w:val="22"/>
          <w:szCs w:val="22"/>
          <w:lang w:val="en-US"/>
        </w:rPr>
        <w:t>Account/Bureau</w:t>
      </w:r>
      <w:r w:rsidRPr="5130BB37" w:rsidR="462CA174">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r w:rsidR="462CA174">
        <w:rPr/>
        <w:t>Maternal and Child Health, including Gavi, the Vaccine Alliance</w:t>
      </w:r>
    </w:p>
    <w:p w:rsidR="663103F0" w:rsidRDefault="663103F0" w14:paraId="4896A974" w14:textId="7232444B">
      <w:r w:rsidRPr="6DDFEE14">
        <w:rPr>
          <w:b/>
          <w:bCs/>
        </w:rPr>
        <w:t>Type of request</w:t>
      </w:r>
      <w:r>
        <w:t>: Language</w:t>
      </w:r>
    </w:p>
    <w:p w:rsidR="00F92095" w:rsidRDefault="00F92095" w14:paraId="4814260C" w14:textId="77777777">
      <w:pPr>
        <w:rPr>
          <w:b/>
          <w:bCs/>
        </w:rPr>
      </w:pPr>
    </w:p>
    <w:p w:rsidRPr="00990564" w:rsidR="00990564" w:rsidP="00990564" w:rsidRDefault="00990564" w14:paraId="524C2A03" w14:textId="1E15E6C7">
      <w:pPr>
        <w:rPr>
          <w:b/>
          <w:bCs/>
        </w:rPr>
      </w:pPr>
      <w:r w:rsidRPr="00990564">
        <w:rPr>
          <w:b/>
          <w:bCs/>
        </w:rPr>
        <w:t>Bill Language</w:t>
      </w:r>
      <w:r>
        <w:rPr>
          <w:b/>
          <w:bCs/>
        </w:rPr>
        <w:t xml:space="preserve"> Recommendation</w:t>
      </w:r>
      <w:r w:rsidR="004578BF">
        <w:rPr>
          <w:b/>
          <w:bCs/>
        </w:rPr>
        <w:t>:</w:t>
      </w:r>
    </w:p>
    <w:p w:rsidRPr="00AE73F4" w:rsidR="00990564" w:rsidP="00990564" w:rsidRDefault="00990564" w14:paraId="1A01B0C5" w14:textId="77777777">
      <w:pPr>
        <w:rPr>
          <w:i/>
          <w:iCs/>
        </w:rPr>
      </w:pPr>
      <w:r w:rsidRPr="00AE73F4">
        <w:t xml:space="preserve">GLOBAL HEALTH Programs </w:t>
      </w:r>
      <w:r w:rsidRPr="00AE73F4">
        <w:rPr>
          <w:i/>
          <w:iCs/>
        </w:rPr>
        <w:t xml:space="preserve">further, That $300,000,000 </w:t>
      </w:r>
      <w:r w:rsidRPr="00990564">
        <w:rPr>
          <w:b/>
          <w:bCs/>
          <w:i/>
          <w:iCs/>
        </w:rPr>
        <w:t>shall</w:t>
      </w:r>
      <w:r w:rsidRPr="00AE73F4">
        <w:rPr>
          <w:i/>
          <w:iCs/>
        </w:rPr>
        <w:t xml:space="preserve"> be made available for a United States contribution to the GAVI Alliance, </w:t>
      </w:r>
    </w:p>
    <w:p w:rsidR="6DDFEE14" w:rsidRDefault="663103F0" w14:paraId="5FC9080D" w14:textId="5A494620">
      <w:r w:rsidRPr="413467AF">
        <w:rPr>
          <w:b/>
          <w:bCs/>
        </w:rPr>
        <w:lastRenderedPageBreak/>
        <w:t>Report Language Recommendation</w:t>
      </w:r>
      <w:r>
        <w:t xml:space="preserve">: </w:t>
      </w:r>
    </w:p>
    <w:p w:rsidR="00902A7D" w:rsidP="00902A7D" w:rsidRDefault="00902A7D" w14:paraId="29472E3B" w14:textId="77777777">
      <w:pPr>
        <w:spacing w:before="0" w:after="0"/>
      </w:pPr>
      <w:r w:rsidRPr="00F92095">
        <w:rPr>
          <w:i/>
          <w:iCs/>
        </w:rPr>
        <w:t>GAVI Alliance.-</w:t>
      </w:r>
      <w:r>
        <w:rPr>
          <w:i/>
          <w:iCs/>
        </w:rPr>
        <w:t xml:space="preserve"> </w:t>
      </w:r>
      <w:r w:rsidRPr="00F92095">
        <w:t>The agreement includes $300,000,000 for the third installment of the U.S. contribution to The GAVI Alliance for the sixth strategic period and encourages other donors to increase their contributions. Sufficient unobligated balances exist from prior Acts for the first two installments, for which the Secretary of State is directed to contribute such funds to the GAVI Alliance in a timely manner, and which are in addition the funds provided in this Act.</w:t>
      </w:r>
    </w:p>
    <w:p w:rsidR="00902A7D" w:rsidP="00902A7D" w:rsidRDefault="00902A7D" w14:paraId="240F7E9F" w14:textId="77777777">
      <w:pPr>
        <w:spacing w:before="0" w:after="0"/>
      </w:pPr>
    </w:p>
    <w:p w:rsidRPr="00F92095" w:rsidR="00F92095" w:rsidP="00F92095" w:rsidRDefault="00F92095" w14:paraId="056D4A5B" w14:textId="5B803D14">
      <w:pPr>
        <w:spacing w:before="0" w:after="0"/>
      </w:pPr>
      <w:r w:rsidRPr="00F92095">
        <w:rPr>
          <w:i/>
          <w:iCs/>
        </w:rPr>
        <w:t>Disadvantaged geographies</w:t>
      </w:r>
      <w:r>
        <w:rPr>
          <w:i/>
          <w:iCs/>
        </w:rPr>
        <w:t>.</w:t>
      </w:r>
      <w:r w:rsidRPr="00F92095">
        <w:rPr>
          <w:i/>
          <w:iCs/>
        </w:rPr>
        <w:t>-</w:t>
      </w:r>
      <w:r>
        <w:rPr>
          <w:i/>
          <w:iCs/>
        </w:rPr>
        <w:t xml:space="preserve"> </w:t>
      </w:r>
      <w:r w:rsidRPr="00F92095">
        <w:t>The Committee directs the Secretary of State to submit a report to the appropriate congressional committees not later than 90 days after enactment of this Act on how much of the assistance provided under bilateral Global Health Programs during fiscal year 2026 was used to provide health services to sub-national populations with an under-five mortality rate higher than 80/1000 live births, and how State Department’s bilateral Memorandums of Understanding on health will target these same subnational populations.</w:t>
      </w:r>
    </w:p>
    <w:p w:rsidRPr="00F92095" w:rsidR="00F92095" w:rsidP="00F92095" w:rsidRDefault="00F92095" w14:paraId="4CCA3636" w14:textId="77777777">
      <w:pPr>
        <w:spacing w:before="0" w:after="0"/>
      </w:pPr>
    </w:p>
    <w:p w:rsidRPr="00F92095" w:rsidR="00F92095" w:rsidP="00F92095" w:rsidRDefault="00F92095" w14:paraId="048E9574" w14:textId="635EFE64">
      <w:pPr>
        <w:spacing w:before="0" w:after="0"/>
      </w:pPr>
      <w:r w:rsidRPr="00F92095">
        <w:rPr>
          <w:i/>
          <w:iCs/>
        </w:rPr>
        <w:t>Preventing childhood deaths.-</w:t>
      </w:r>
      <w:r>
        <w:rPr>
          <w:i/>
          <w:iCs/>
        </w:rPr>
        <w:t xml:space="preserve"> </w:t>
      </w:r>
      <w:r w:rsidRPr="00F92095">
        <w:t xml:space="preserve">The Committee directs the Secretary of State to include in annual maternal and child health reporting the amount spent each year on highest-impact, evidence-based child health interventions in bilateral global health programs, disaggregated by intervention and outcomes achieved as a result of United States assistance. The report shall include an accounting of interventions provided, including treatment, for (1) childhood pneumonia, (2) malaria, (3) diarrheal dehydration, (4) severe acute malnutrition, (5) immunizations, (6) azithromycin provision, and (7) neonatal sepsis. The report </w:t>
      </w:r>
      <w:proofErr w:type="gramStart"/>
      <w:r w:rsidRPr="00F92095">
        <w:t>shall</w:t>
      </w:r>
      <w:proofErr w:type="gramEnd"/>
      <w:r w:rsidRPr="00F92095">
        <w:t xml:space="preserve"> also include an estimation of funds expended to support the outcomes for each intervention and the approximate number of mothers and infants who received postnatal care within two days of childbirth </w:t>
      </w:r>
      <w:proofErr w:type="gramStart"/>
      <w:r w:rsidRPr="00F92095">
        <w:t>as a result of</w:t>
      </w:r>
      <w:proofErr w:type="gramEnd"/>
      <w:r w:rsidRPr="00F92095">
        <w:t xml:space="preserve"> such assistance.</w:t>
      </w:r>
    </w:p>
    <w:p w:rsidR="00B53946" w:rsidP="00F92095" w:rsidRDefault="00B53946" w14:paraId="20E09AC9" w14:textId="77777777">
      <w:pPr>
        <w:spacing w:before="0" w:after="0"/>
      </w:pPr>
    </w:p>
    <w:p w:rsidRPr="00AE73F4" w:rsidR="00B53946" w:rsidP="00F92095" w:rsidRDefault="00B53946" w14:paraId="5F0A151B" w14:textId="742857BB">
      <w:pPr>
        <w:spacing w:before="0" w:after="0"/>
        <w:rPr>
          <w:b/>
          <w:bCs/>
        </w:rPr>
      </w:pPr>
      <w:r w:rsidRPr="00AE73F4">
        <w:rPr>
          <w:b/>
          <w:bCs/>
        </w:rPr>
        <w:t>Rationale/Justification:</w:t>
      </w:r>
    </w:p>
    <w:p w:rsidR="00B53946" w:rsidP="00F92095" w:rsidRDefault="00B53946" w14:paraId="07B5AD98" w14:textId="77777777">
      <w:pPr>
        <w:spacing w:before="0" w:after="0"/>
      </w:pPr>
    </w:p>
    <w:p w:rsidR="00B53946" w:rsidP="00F92095" w:rsidRDefault="00701DB8" w14:paraId="4B9CA3B7" w14:textId="137AA7A8">
      <w:pPr>
        <w:spacing w:before="0" w:after="0"/>
      </w:pPr>
      <w:r>
        <w:t xml:space="preserve">U.S. investments in maternal, newborn, and child health (MNCH) should </w:t>
      </w:r>
      <w:r w:rsidR="00656BAE">
        <w:t xml:space="preserve">support countries to </w:t>
      </w:r>
      <w:r>
        <w:t>prioritize high-impact, evidence-based interventions</w:t>
      </w:r>
      <w:r w:rsidR="00C41CA4">
        <w:t xml:space="preserve"> and target the populations with the greatest unmet need</w:t>
      </w:r>
      <w:r w:rsidR="00AA2D10">
        <w:t>.</w:t>
      </w:r>
      <w:r>
        <w:t xml:space="preserve"> </w:t>
      </w:r>
      <w:r w:rsidR="00307E6A">
        <w:t>Robust</w:t>
      </w:r>
      <w:r w:rsidR="006D7067">
        <w:t xml:space="preserve"> evidence </w:t>
      </w:r>
      <w:r w:rsidR="00307E6A">
        <w:t>demonstrates</w:t>
      </w:r>
      <w:r w:rsidR="006D7067">
        <w:t xml:space="preserve"> that proven </w:t>
      </w:r>
      <w:r w:rsidR="00D832EF">
        <w:t>interventions</w:t>
      </w:r>
      <w:r w:rsidR="00307E6A">
        <w:t xml:space="preserve"> </w:t>
      </w:r>
      <w:r w:rsidR="006D7067">
        <w:t>can prev</w:t>
      </w:r>
      <w:r w:rsidR="001D4BDC">
        <w:t>e</w:t>
      </w:r>
      <w:r w:rsidR="006D7067">
        <w:t xml:space="preserve">nt most </w:t>
      </w:r>
      <w:r w:rsidR="001D4BDC">
        <w:t>maternal and child deaths at relatively low cost</w:t>
      </w:r>
      <w:r w:rsidR="00656BAE">
        <w:t>—particularly in settings with the highest mortality rates and lowest coverage of essential services.</w:t>
      </w:r>
      <w:r w:rsidR="001D4BDC">
        <w:t xml:space="preserve"> Directing funds to</w:t>
      </w:r>
      <w:r w:rsidR="00D832EF">
        <w:t xml:space="preserve"> these</w:t>
      </w:r>
      <w:r w:rsidR="001D4BDC">
        <w:t xml:space="preserve"> </w:t>
      </w:r>
      <w:r w:rsidR="00274F6C">
        <w:t>interventions</w:t>
      </w:r>
      <w:r w:rsidR="001D4BDC">
        <w:t xml:space="preserve"> </w:t>
      </w:r>
      <w:r w:rsidR="00274F6C">
        <w:t>reflects responsible stewardship of public resources</w:t>
      </w:r>
      <w:r w:rsidR="00E13334">
        <w:t xml:space="preserve"> by maximizing </w:t>
      </w:r>
      <w:r w:rsidR="00E13334">
        <w:lastRenderedPageBreak/>
        <w:t>lives saved per taxpayer dollar</w:t>
      </w:r>
      <w:r w:rsidR="00AA2D10">
        <w:t xml:space="preserve">. </w:t>
      </w:r>
      <w:r w:rsidR="009704D2">
        <w:t xml:space="preserve">Prioritizing subnational </w:t>
      </w:r>
      <w:r w:rsidR="008D1ECE">
        <w:t>geographies</w:t>
      </w:r>
      <w:r w:rsidR="009704D2">
        <w:t xml:space="preserve"> with higher under-five mortality further ensures that limited resources are concentrated where they can have the greatest impact. </w:t>
      </w:r>
      <w:r w:rsidR="00AA2D10">
        <w:t xml:space="preserve">Establishing and maintaining  clear indicators and </w:t>
      </w:r>
      <w:r w:rsidR="007D652C">
        <w:t>measurable</w:t>
      </w:r>
      <w:r w:rsidR="00AA2D10">
        <w:t xml:space="preserve"> outcomes </w:t>
      </w:r>
      <w:r w:rsidR="00444641">
        <w:t xml:space="preserve">are aligned with the 2025 American First Global Health Strategy goals of </w:t>
      </w:r>
      <w:r w:rsidR="00AF24EF">
        <w:t>enhanc</w:t>
      </w:r>
      <w:r w:rsidR="00DA6EC9">
        <w:t>ing</w:t>
      </w:r>
      <w:r w:rsidR="00AA2D10">
        <w:t xml:space="preserve"> transparency and performance-based approaches to improving global health</w:t>
      </w:r>
      <w:r w:rsidR="00444641">
        <w:t>.</w:t>
      </w:r>
    </w:p>
    <w:p w:rsidRPr="00F92095" w:rsidR="00B53946" w:rsidP="00F92095" w:rsidRDefault="00B53946" w14:paraId="1BBA1265" w14:textId="77777777">
      <w:pPr>
        <w:spacing w:before="0" w:after="0"/>
      </w:pPr>
    </w:p>
    <w:p w:rsidR="00902A7D" w:rsidP="00BA6B0A" w:rsidRDefault="00B30DD8" w14:paraId="4EB94D72" w14:textId="581468B4">
      <w:pPr>
        <w:spacing w:before="0" w:after="0"/>
      </w:pPr>
      <w:r w:rsidRPr="008876E5">
        <w:t xml:space="preserve">In response to Gavi’s June 2024 investment opportunity, the U.S. committed at least $1.58 billion over five years. </w:t>
      </w:r>
      <w:r w:rsidRPr="00243938" w:rsidR="00243938">
        <w:t xml:space="preserve">The United States' early withdrawal of its previously announced pledge created uncertainty among other donors and implementing countries at a critical moment for Gavi’s 2026 to 2030 investment cycle. </w:t>
      </w:r>
      <w:r w:rsidR="004F4955">
        <w:t>I</w:t>
      </w:r>
      <w:r w:rsidRPr="008876E5" w:rsidR="004F4955">
        <w:t xml:space="preserve">t is vital for the U.S. to </w:t>
      </w:r>
      <w:r w:rsidR="00DE464C">
        <w:t xml:space="preserve">deliver the </w:t>
      </w:r>
      <w:r w:rsidRPr="008876E5" w:rsidR="004F4955">
        <w:t>FY 2025</w:t>
      </w:r>
      <w:r w:rsidR="00DE464C">
        <w:t xml:space="preserve"> and</w:t>
      </w:r>
      <w:r w:rsidRPr="008876E5" w:rsidR="004F4955">
        <w:t xml:space="preserve"> FY 2026</w:t>
      </w:r>
      <w:r w:rsidR="00DE464C">
        <w:t xml:space="preserve"> funds that have already been </w:t>
      </w:r>
      <w:r w:rsidR="00756B8D">
        <w:t>appropriated</w:t>
      </w:r>
      <w:r w:rsidRPr="008876E5" w:rsidR="00756B8D">
        <w:t xml:space="preserve"> and</w:t>
      </w:r>
      <w:r w:rsidRPr="008876E5" w:rsidR="004F4955">
        <w:t xml:space="preserve"> </w:t>
      </w:r>
      <w:r w:rsidR="00DE464C">
        <w:t xml:space="preserve">continue the same level of funding for </w:t>
      </w:r>
      <w:r w:rsidRPr="008876E5" w:rsidR="004F4955">
        <w:t>FY 2027. </w:t>
      </w:r>
    </w:p>
    <w:p w:rsidR="00902A7D" w:rsidP="00BA6B0A" w:rsidRDefault="00902A7D" w14:paraId="7B85C344" w14:textId="77777777">
      <w:pPr>
        <w:spacing w:before="0" w:after="0"/>
      </w:pPr>
    </w:p>
    <w:p w:rsidR="00E646B3" w:rsidP="00F92095" w:rsidRDefault="00504CFE" w14:paraId="35C1B2B2" w14:textId="074A63F7">
      <w:pPr>
        <w:spacing w:before="0" w:after="0"/>
      </w:pPr>
      <w:r>
        <w:t xml:space="preserve">Timely and predictable U.S. contributions are essential to enable Gavi’s </w:t>
      </w:r>
      <w:r w:rsidR="00902A7D">
        <w:t>impact</w:t>
      </w:r>
      <w:r>
        <w:t xml:space="preserve">, including securing multi-year vaccine supply agreements and strengthening its market-shaping leverage to lower prices. </w:t>
      </w:r>
      <w:r w:rsidRPr="008876E5">
        <w:t xml:space="preserve">Gavi’s market-driven approach makes it a best-buy in global health, </w:t>
      </w:r>
      <w:r>
        <w:t xml:space="preserve">and Gavi 6.0 is expected to generate up to $800 million in </w:t>
      </w:r>
      <w:r w:rsidRPr="000752F7">
        <w:t>efficiency savings</w:t>
      </w:r>
      <w:r w:rsidRPr="008876E5">
        <w:t xml:space="preserve"> by reducing vaccine prices across at least </w:t>
      </w:r>
      <w:r>
        <w:t>half</w:t>
      </w:r>
      <w:r w:rsidRPr="008876E5">
        <w:t xml:space="preserve"> of its portfolio. </w:t>
      </w:r>
      <w:r w:rsidRPr="008876E5" w:rsidR="0013096B">
        <w:t>From</w:t>
      </w:r>
      <w:r w:rsidRPr="008876E5" w:rsidR="008519FA">
        <w:t xml:space="preserve"> 2026-2030, </w:t>
      </w:r>
      <w:r w:rsidRPr="008876E5" w:rsidR="0013096B">
        <w:t>Gavi aims</w:t>
      </w:r>
      <w:r w:rsidRPr="008876E5" w:rsidR="00B30DD8">
        <w:t xml:space="preserve"> to </w:t>
      </w:r>
      <w:r w:rsidRPr="00AE73F4" w:rsidR="00B30DD8">
        <w:t xml:space="preserve">immunize an additional 500 million children </w:t>
      </w:r>
      <w:r w:rsidRPr="008876E5" w:rsidR="00B30DD8">
        <w:t xml:space="preserve">and </w:t>
      </w:r>
      <w:r w:rsidRPr="00AE73F4" w:rsidR="00B30DD8">
        <w:t>prevent at least 8 million deaths</w:t>
      </w:r>
      <w:r w:rsidRPr="008876E5" w:rsidR="00B30DD8">
        <w:t xml:space="preserve">. This current strategic period, known as Gavi 6.0, will expand vaccine access while driving greater efficiency and cost-effectiveness. A key priority is the continued rollout of new malaria vaccines, with a goal of </w:t>
      </w:r>
      <w:r w:rsidRPr="00756B8D" w:rsidR="00B30DD8">
        <w:t>vaccinating over 50 million children</w:t>
      </w:r>
      <w:r w:rsidRPr="008876E5" w:rsidR="00B30DD8">
        <w:t xml:space="preserve"> during this period.</w:t>
      </w:r>
      <w:r w:rsidR="00585F33">
        <w:t xml:space="preserve"> </w:t>
      </w:r>
    </w:p>
    <w:sectPr w:rsidR="00E646B3" w:rsidSect="002A2FD4">
      <w:headerReference w:type="default" r:id="rId12"/>
      <w:footerReference w:type="default" r:id="rId13"/>
      <w:headerReference w:type="first" r:id="rId14"/>
      <w:footerReference w:type="first" r:id="rId15"/>
      <w:pgSz w:w="12240" w:h="15840" w:orient="portrait"/>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8A3" w:rsidP="00E5738D" w:rsidRDefault="003F58A3" w14:paraId="0ED0E896" w14:textId="77777777">
      <w:r>
        <w:separator/>
      </w:r>
    </w:p>
  </w:endnote>
  <w:endnote w:type="continuationSeparator" w:id="0">
    <w:p w:rsidR="003F58A3" w:rsidP="00E5738D" w:rsidRDefault="003F58A3" w14:paraId="239C8C49" w14:textId="77777777">
      <w:r>
        <w:continuationSeparator/>
      </w:r>
    </w:p>
  </w:endnote>
  <w:endnote w:type="continuationNotice" w:id="1">
    <w:p w:rsidR="003F58A3" w:rsidRDefault="003F58A3" w14:paraId="775470D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53BF" w:rsidR="00792B4C" w:rsidP="00E5738D" w:rsidRDefault="00792B4C" w14:paraId="5D39F6C0" w14:textId="77777777">
    <w:pPr>
      <w:pStyle w:val="Footer"/>
      <w:jc w:val="center"/>
      <w:rPr>
        <w:rFonts w:cs="Open Sans"/>
        <w:color w:val="58585B"/>
        <w:sz w:val="18"/>
        <w:szCs w:val="18"/>
      </w:rPr>
    </w:pPr>
    <w:r w:rsidRPr="000753BF">
      <w:rPr>
        <w:rFonts w:cs="Open Sans"/>
        <w:color w:val="58585B"/>
        <w:sz w:val="18"/>
        <w:szCs w:val="18"/>
      </w:rPr>
      <w:t>1101 15</w:t>
    </w:r>
    <w:r w:rsidRPr="000753BF">
      <w:rPr>
        <w:rFonts w:cs="Open Sans"/>
        <w:color w:val="58585B"/>
        <w:sz w:val="18"/>
        <w:szCs w:val="18"/>
        <w:vertAlign w:val="superscript"/>
      </w:rPr>
      <w:t>th</w:t>
    </w:r>
    <w:r w:rsidRPr="000753BF">
      <w:rPr>
        <w:rFonts w:cs="Open Sans"/>
        <w:color w:val="58585B"/>
        <w:sz w:val="18"/>
        <w:szCs w:val="18"/>
      </w:rPr>
      <w:t xml:space="preserve"> St</w:t>
    </w:r>
    <w:r w:rsidRPr="000753BF" w:rsidR="0046169B">
      <w:rPr>
        <w:rFonts w:cs="Open Sans"/>
        <w:color w:val="58585B"/>
        <w:sz w:val="18"/>
        <w:szCs w:val="18"/>
      </w:rPr>
      <w:t>.</w:t>
    </w:r>
    <w:r w:rsidRPr="000753BF">
      <w:rPr>
        <w:rFonts w:cs="Open Sans"/>
        <w:color w:val="58585B"/>
        <w:sz w:val="18"/>
        <w:szCs w:val="18"/>
      </w:rPr>
      <w:t xml:space="preserve"> NW, Suite </w:t>
    </w:r>
    <w:proofErr w:type="gramStart"/>
    <w:r w:rsidRPr="000753BF">
      <w:rPr>
        <w:rFonts w:cs="Open Sans"/>
        <w:color w:val="58585B"/>
        <w:sz w:val="18"/>
        <w:szCs w:val="18"/>
      </w:rPr>
      <w:t>1200  |</w:t>
    </w:r>
    <w:proofErr w:type="gramEnd"/>
    <w:r w:rsidRPr="000753BF">
      <w:rPr>
        <w:rFonts w:cs="Open Sans"/>
        <w:color w:val="58585B"/>
        <w:sz w:val="18"/>
        <w:szCs w:val="18"/>
      </w:rPr>
      <w:t xml:space="preserve">  Washington</w:t>
    </w:r>
    <w:r w:rsidRPr="000753BF" w:rsidR="005E4A16">
      <w:rPr>
        <w:rFonts w:cs="Open Sans"/>
        <w:color w:val="58585B"/>
        <w:sz w:val="18"/>
        <w:szCs w:val="18"/>
      </w:rPr>
      <w:t>,</w:t>
    </w:r>
    <w:r w:rsidRPr="000753BF">
      <w:rPr>
        <w:rFonts w:cs="Open Sans"/>
        <w:color w:val="58585B"/>
        <w:sz w:val="18"/>
        <w:szCs w:val="18"/>
      </w:rPr>
      <w:t xml:space="preserve"> DC 200</w:t>
    </w:r>
    <w:r w:rsidRPr="000753BF" w:rsidR="00B95AC9">
      <w:rPr>
        <w:rFonts w:cs="Open Sans"/>
        <w:color w:val="58585B"/>
        <w:sz w:val="18"/>
        <w:szCs w:val="18"/>
      </w:rPr>
      <w:t>0</w:t>
    </w:r>
    <w:r w:rsidRPr="000753BF">
      <w:rPr>
        <w:rFonts w:cs="Open Sans"/>
        <w:color w:val="58585B"/>
        <w:sz w:val="18"/>
        <w:szCs w:val="18"/>
      </w:rPr>
      <w:t>5</w:t>
    </w:r>
  </w:p>
  <w:p w:rsidRPr="000753BF" w:rsidR="00792B4C" w:rsidP="00E5738D" w:rsidRDefault="00B9113B" w14:paraId="13BC1857" w14:textId="77777777">
    <w:pPr>
      <w:pStyle w:val="Footer"/>
      <w:jc w:val="center"/>
      <w:rPr>
        <w:rFonts w:cs="Open Sans"/>
        <w:color w:val="58585B"/>
        <w:sz w:val="18"/>
        <w:szCs w:val="18"/>
      </w:rPr>
    </w:pPr>
    <w:r w:rsidRPr="000753BF">
      <w:rPr>
        <w:rFonts w:cs="Open Sans"/>
        <w:color w:val="58585B"/>
        <w:sz w:val="18"/>
        <w:szCs w:val="18"/>
      </w:rPr>
      <w:t>P: (202) 783-</w:t>
    </w:r>
    <w:proofErr w:type="gramStart"/>
    <w:r w:rsidRPr="000753BF" w:rsidR="00792B4C">
      <w:rPr>
        <w:rFonts w:cs="Open Sans"/>
        <w:color w:val="58585B"/>
        <w:sz w:val="18"/>
        <w:szCs w:val="18"/>
      </w:rPr>
      <w:t>4800</w:t>
    </w:r>
    <w:r w:rsidRPr="000753BF" w:rsidR="00527124">
      <w:rPr>
        <w:rFonts w:cs="Open Sans"/>
        <w:color w:val="58585B"/>
        <w:sz w:val="18"/>
        <w:szCs w:val="18"/>
      </w:rPr>
      <w:t xml:space="preserve">  </w:t>
    </w:r>
    <w:r w:rsidRPr="000753BF" w:rsidR="00792B4C">
      <w:rPr>
        <w:rFonts w:cs="Open Sans"/>
        <w:color w:val="58585B"/>
        <w:sz w:val="18"/>
        <w:szCs w:val="18"/>
      </w:rPr>
      <w:t>|</w:t>
    </w:r>
    <w:proofErr w:type="gramEnd"/>
    <w:r w:rsidRPr="000753BF" w:rsidR="00792B4C">
      <w:rPr>
        <w:rFonts w:cs="Open Sans"/>
        <w:color w:val="58585B"/>
        <w:sz w:val="18"/>
        <w:szCs w:val="18"/>
      </w:rPr>
      <w:t xml:space="preserve">  </w:t>
    </w:r>
    <w:proofErr w:type="gramStart"/>
    <w:r w:rsidRPr="000753BF" w:rsidR="00792B4C">
      <w:rPr>
        <w:rFonts w:cs="Open Sans"/>
        <w:color w:val="58585B"/>
        <w:sz w:val="18"/>
        <w:szCs w:val="18"/>
      </w:rPr>
      <w:t>www.results.org</w:t>
    </w:r>
    <w:r w:rsidRPr="000753BF" w:rsidR="00527124">
      <w:rPr>
        <w:rFonts w:cs="Open Sans"/>
        <w:color w:val="58585B"/>
        <w:sz w:val="18"/>
        <w:szCs w:val="18"/>
      </w:rPr>
      <w:t xml:space="preserve">  |</w:t>
    </w:r>
    <w:proofErr w:type="gramEnd"/>
    <w:r w:rsidRPr="000753BF" w:rsidR="00527124">
      <w:rPr>
        <w:rFonts w:cs="Open Sans"/>
        <w:color w:val="58585B"/>
        <w:sz w:val="18"/>
        <w:szCs w:val="18"/>
      </w:rPr>
      <w:t xml:space="preserve">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7B95" w:rsidR="00527124" w:rsidP="00527124" w:rsidRDefault="00527124" w14:paraId="0E9C7323" w14:textId="77777777">
    <w:pPr>
      <w:pStyle w:val="Footer"/>
      <w:jc w:val="center"/>
      <w:rPr>
        <w:rFonts w:cs="Open Sans"/>
        <w:color w:val="58585B"/>
        <w:sz w:val="18"/>
        <w:szCs w:val="18"/>
      </w:rPr>
    </w:pPr>
    <w:r w:rsidRPr="00057B95">
      <w:rPr>
        <w:rFonts w:cs="Open Sans"/>
        <w:color w:val="58585B"/>
        <w:sz w:val="18"/>
        <w:szCs w:val="18"/>
      </w:rPr>
      <w:t>1101 15</w:t>
    </w:r>
    <w:r w:rsidRPr="00057B95">
      <w:rPr>
        <w:rFonts w:cs="Open Sans"/>
        <w:color w:val="58585B"/>
        <w:sz w:val="18"/>
        <w:szCs w:val="18"/>
        <w:vertAlign w:val="superscript"/>
      </w:rPr>
      <w:t>th</w:t>
    </w:r>
    <w:r w:rsidRPr="00057B95">
      <w:rPr>
        <w:rFonts w:cs="Open Sans"/>
        <w:color w:val="58585B"/>
        <w:sz w:val="18"/>
        <w:szCs w:val="18"/>
      </w:rPr>
      <w:t xml:space="preserve"> St</w:t>
    </w:r>
    <w:r w:rsidRPr="00057B95" w:rsidR="00B9113B">
      <w:rPr>
        <w:rFonts w:cs="Open Sans"/>
        <w:color w:val="58585B"/>
        <w:sz w:val="18"/>
        <w:szCs w:val="18"/>
      </w:rPr>
      <w:t>.</w:t>
    </w:r>
    <w:r w:rsidRPr="00057B95">
      <w:rPr>
        <w:rFonts w:cs="Open Sans"/>
        <w:color w:val="58585B"/>
        <w:sz w:val="18"/>
        <w:szCs w:val="18"/>
      </w:rPr>
      <w:t xml:space="preserve"> NW, Suite </w:t>
    </w:r>
    <w:proofErr w:type="gramStart"/>
    <w:r w:rsidRPr="00057B95">
      <w:rPr>
        <w:rFonts w:cs="Open Sans"/>
        <w:color w:val="58585B"/>
        <w:sz w:val="18"/>
        <w:szCs w:val="18"/>
      </w:rPr>
      <w:t>1200  |</w:t>
    </w:r>
    <w:proofErr w:type="gramEnd"/>
    <w:r w:rsidRPr="00057B95">
      <w:rPr>
        <w:rFonts w:cs="Open Sans"/>
        <w:color w:val="58585B"/>
        <w:sz w:val="18"/>
        <w:szCs w:val="18"/>
      </w:rPr>
      <w:t xml:space="preserve">  Washington, DC 20005</w:t>
    </w:r>
  </w:p>
  <w:p w:rsidRPr="00057B95" w:rsidR="00527124" w:rsidP="00527124" w:rsidRDefault="00B9113B" w14:paraId="22F9B958" w14:textId="77777777">
    <w:pPr>
      <w:pStyle w:val="Footer"/>
      <w:jc w:val="center"/>
      <w:rPr>
        <w:rFonts w:cs="Open Sans"/>
        <w:color w:val="58585B"/>
        <w:sz w:val="18"/>
        <w:szCs w:val="18"/>
      </w:rPr>
    </w:pPr>
    <w:r w:rsidRPr="00057B95">
      <w:rPr>
        <w:rFonts w:cs="Open Sans"/>
        <w:color w:val="58585B"/>
        <w:sz w:val="18"/>
        <w:szCs w:val="18"/>
      </w:rPr>
      <w:t>P: (202) 783-</w:t>
    </w:r>
    <w:proofErr w:type="gramStart"/>
    <w:r w:rsidRPr="00057B95" w:rsidR="00527124">
      <w:rPr>
        <w:rFonts w:cs="Open Sans"/>
        <w:color w:val="58585B"/>
        <w:sz w:val="18"/>
        <w:szCs w:val="18"/>
      </w:rPr>
      <w:t>4800  |</w:t>
    </w:r>
    <w:proofErr w:type="gramEnd"/>
    <w:r w:rsidRPr="00057B95" w:rsidR="00527124">
      <w:rPr>
        <w:rFonts w:cs="Open Sans"/>
        <w:color w:val="58585B"/>
        <w:sz w:val="18"/>
        <w:szCs w:val="18"/>
      </w:rPr>
      <w:t xml:space="preserve">  </w:t>
    </w:r>
    <w:proofErr w:type="gramStart"/>
    <w:r w:rsidRPr="00057B95" w:rsidR="00527124">
      <w:rPr>
        <w:rFonts w:cs="Open Sans"/>
        <w:color w:val="58585B"/>
        <w:sz w:val="18"/>
        <w:szCs w:val="18"/>
      </w:rPr>
      <w:t>www.results.org  |</w:t>
    </w:r>
    <w:proofErr w:type="gramEnd"/>
    <w:r w:rsidRPr="00057B95" w:rsidR="00527124">
      <w:rPr>
        <w:rFonts w:cs="Open Sans"/>
        <w:color w:val="58585B"/>
        <w:sz w:val="18"/>
        <w:szCs w:val="18"/>
      </w:rPr>
      <w:t xml:space="preserve">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8A3" w:rsidP="00E5738D" w:rsidRDefault="003F58A3" w14:paraId="3C1F2416" w14:textId="77777777">
      <w:r>
        <w:separator/>
      </w:r>
    </w:p>
  </w:footnote>
  <w:footnote w:type="continuationSeparator" w:id="0">
    <w:p w:rsidR="003F58A3" w:rsidP="00E5738D" w:rsidRDefault="003F58A3" w14:paraId="62506067" w14:textId="77777777">
      <w:r>
        <w:continuationSeparator/>
      </w:r>
    </w:p>
  </w:footnote>
  <w:footnote w:type="continuationNotice" w:id="1">
    <w:p w:rsidR="003F58A3" w:rsidRDefault="003F58A3" w14:paraId="546CFE41"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6D643B0" w:rsidTr="36D643B0" w14:paraId="48DDA389" w14:textId="77777777">
      <w:trPr>
        <w:trHeight w:val="300"/>
      </w:trPr>
      <w:tc>
        <w:tcPr>
          <w:tcW w:w="3120" w:type="dxa"/>
        </w:tcPr>
        <w:p w:rsidR="36D643B0" w:rsidP="36D643B0" w:rsidRDefault="36D643B0" w14:paraId="591F02CA" w14:textId="7E3EB3E3">
          <w:pPr>
            <w:pStyle w:val="Header"/>
            <w:ind w:left="-115"/>
          </w:pPr>
        </w:p>
      </w:tc>
      <w:tc>
        <w:tcPr>
          <w:tcW w:w="3120" w:type="dxa"/>
        </w:tcPr>
        <w:p w:rsidR="36D643B0" w:rsidP="36D643B0" w:rsidRDefault="36D643B0" w14:paraId="4017276E" w14:textId="49DB96E0">
          <w:pPr>
            <w:pStyle w:val="Header"/>
            <w:jc w:val="center"/>
          </w:pPr>
        </w:p>
      </w:tc>
      <w:tc>
        <w:tcPr>
          <w:tcW w:w="3120" w:type="dxa"/>
        </w:tcPr>
        <w:p w:rsidR="36D643B0" w:rsidP="36D643B0" w:rsidRDefault="36D643B0" w14:paraId="2362C996" w14:textId="77533018">
          <w:pPr>
            <w:pStyle w:val="Header"/>
            <w:ind w:right="-115"/>
            <w:jc w:val="right"/>
          </w:pPr>
        </w:p>
      </w:tc>
    </w:tr>
  </w:tbl>
  <w:p w:rsidR="36D643B0" w:rsidP="36D643B0" w:rsidRDefault="36D643B0" w14:paraId="2C88A490" w14:textId="67AA6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102E" w:rsidP="36D643B0" w:rsidRDefault="36D643B0" w14:paraId="73D67D7A" w14:textId="045E7E2A">
    <w:pPr>
      <w:tabs>
        <w:tab w:val="left" w:pos="510"/>
        <w:tab w:val="center" w:pos="4680"/>
        <w:tab w:val="right" w:pos="9360"/>
      </w:tabs>
    </w:pPr>
    <w:r>
      <w:rPr>
        <w:noProof/>
      </w:rPr>
      <w:drawing>
        <wp:inline distT="0" distB="0" distL="0" distR="0" wp14:anchorId="56D3FDBC" wp14:editId="0B306755">
          <wp:extent cx="1143000" cy="914400"/>
          <wp:effectExtent l="0" t="0" r="0" b="0"/>
          <wp:docPr id="20848210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21035" name="Picture 2084821035"/>
                  <pic:cNvPicPr/>
                </pic:nvPicPr>
                <pic:blipFill>
                  <a:blip r:embed="rId1">
                    <a:extLst>
                      <a:ext uri="{28A0092B-C50C-407E-A947-70E740481C1C}">
                        <a14:useLocalDpi xmlns:a14="http://schemas.microsoft.com/office/drawing/2010/main"/>
                      </a:ext>
                    </a:extLst>
                  </a:blip>
                  <a:stretch>
                    <a:fillRect/>
                  </a:stretch>
                </pic:blipFill>
                <pic:spPr>
                  <a:xfrm>
                    <a:off x="0" y="0"/>
                    <a:ext cx="1143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B2C"/>
    <w:multiLevelType w:val="hybridMultilevel"/>
    <w:tmpl w:val="99C0E896"/>
    <w:lvl w:ilvl="0" w:tplc="68BC53A6">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F07442"/>
    <w:multiLevelType w:val="hybridMultilevel"/>
    <w:tmpl w:val="97D2C3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2A74A12"/>
    <w:multiLevelType w:val="hybridMultilevel"/>
    <w:tmpl w:val="D7AC84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9226BEE"/>
    <w:multiLevelType w:val="hybridMultilevel"/>
    <w:tmpl w:val="C090F3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B436A92"/>
    <w:multiLevelType w:val="hybridMultilevel"/>
    <w:tmpl w:val="02C2352C"/>
    <w:lvl w:ilvl="0" w:tplc="6A22177A">
      <w:numFmt w:val="bullet"/>
      <w:lvlText w:val="-"/>
      <w:lvlJc w:val="left"/>
      <w:pPr>
        <w:ind w:left="720" w:hanging="360"/>
      </w:pPr>
      <w:rPr>
        <w:rFonts w:hint="default" w:ascii="Open Sans" w:hAnsi="Open Sans" w:cs="Open Sans"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DCA4F9A"/>
    <w:multiLevelType w:val="hybridMultilevel"/>
    <w:tmpl w:val="F81E4C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A1E7F"/>
    <w:multiLevelType w:val="hybridMultilevel"/>
    <w:tmpl w:val="5C5236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85234AA"/>
    <w:multiLevelType w:val="hybridMultilevel"/>
    <w:tmpl w:val="38C8B5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62DD1370"/>
    <w:multiLevelType w:val="hybridMultilevel"/>
    <w:tmpl w:val="08D407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774715915">
    <w:abstractNumId w:val="9"/>
  </w:num>
  <w:num w:numId="2" w16cid:durableId="493496152">
    <w:abstractNumId w:val="6"/>
  </w:num>
  <w:num w:numId="3" w16cid:durableId="1495608295">
    <w:abstractNumId w:val="2"/>
  </w:num>
  <w:num w:numId="4" w16cid:durableId="1664892661">
    <w:abstractNumId w:val="1"/>
  </w:num>
  <w:num w:numId="5" w16cid:durableId="1751343263">
    <w:abstractNumId w:val="8"/>
  </w:num>
  <w:num w:numId="6" w16cid:durableId="1295600304">
    <w:abstractNumId w:val="7"/>
  </w:num>
  <w:num w:numId="7" w16cid:durableId="220673741">
    <w:abstractNumId w:val="3"/>
  </w:num>
  <w:num w:numId="8" w16cid:durableId="175853873">
    <w:abstractNumId w:val="5"/>
  </w:num>
  <w:num w:numId="9" w16cid:durableId="1831948763">
    <w:abstractNumId w:val="0"/>
  </w:num>
  <w:num w:numId="10" w16cid:durableId="123040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24E60"/>
    <w:rsid w:val="00024F92"/>
    <w:rsid w:val="00032526"/>
    <w:rsid w:val="00057B95"/>
    <w:rsid w:val="00060F9F"/>
    <w:rsid w:val="00074823"/>
    <w:rsid w:val="000753BF"/>
    <w:rsid w:val="00080BE1"/>
    <w:rsid w:val="000816A4"/>
    <w:rsid w:val="00082D7D"/>
    <w:rsid w:val="000979A1"/>
    <w:rsid w:val="000A2F97"/>
    <w:rsid w:val="000B25B5"/>
    <w:rsid w:val="000B64E1"/>
    <w:rsid w:val="000C3209"/>
    <w:rsid w:val="000C3A3F"/>
    <w:rsid w:val="000D23C7"/>
    <w:rsid w:val="000E56A9"/>
    <w:rsid w:val="00100C05"/>
    <w:rsid w:val="00101CE1"/>
    <w:rsid w:val="00111B23"/>
    <w:rsid w:val="00113DED"/>
    <w:rsid w:val="001226CC"/>
    <w:rsid w:val="0013096B"/>
    <w:rsid w:val="00144933"/>
    <w:rsid w:val="0016067B"/>
    <w:rsid w:val="00182BE0"/>
    <w:rsid w:val="0019175D"/>
    <w:rsid w:val="00192013"/>
    <w:rsid w:val="001C5A0D"/>
    <w:rsid w:val="001D11F5"/>
    <w:rsid w:val="001D4BDC"/>
    <w:rsid w:val="001D6B91"/>
    <w:rsid w:val="001D6DA5"/>
    <w:rsid w:val="001E1626"/>
    <w:rsid w:val="001F273D"/>
    <w:rsid w:val="001F474A"/>
    <w:rsid w:val="001F64F8"/>
    <w:rsid w:val="0021432D"/>
    <w:rsid w:val="00241725"/>
    <w:rsid w:val="00243938"/>
    <w:rsid w:val="002468DD"/>
    <w:rsid w:val="00274618"/>
    <w:rsid w:val="00274F6C"/>
    <w:rsid w:val="002767D5"/>
    <w:rsid w:val="00280F24"/>
    <w:rsid w:val="00283B79"/>
    <w:rsid w:val="00294ACE"/>
    <w:rsid w:val="0029790E"/>
    <w:rsid w:val="002A1BE2"/>
    <w:rsid w:val="002A2FD4"/>
    <w:rsid w:val="002A53D3"/>
    <w:rsid w:val="002B47AB"/>
    <w:rsid w:val="002E382E"/>
    <w:rsid w:val="00302D23"/>
    <w:rsid w:val="003035C8"/>
    <w:rsid w:val="00307E6A"/>
    <w:rsid w:val="00323A3D"/>
    <w:rsid w:val="0032700A"/>
    <w:rsid w:val="003306C8"/>
    <w:rsid w:val="00340D5F"/>
    <w:rsid w:val="00343806"/>
    <w:rsid w:val="00352DB9"/>
    <w:rsid w:val="003707C9"/>
    <w:rsid w:val="00375891"/>
    <w:rsid w:val="00390351"/>
    <w:rsid w:val="003979DB"/>
    <w:rsid w:val="003A72C7"/>
    <w:rsid w:val="003B4810"/>
    <w:rsid w:val="003B5AB4"/>
    <w:rsid w:val="003D054A"/>
    <w:rsid w:val="003F3C9C"/>
    <w:rsid w:val="003F58A3"/>
    <w:rsid w:val="00412267"/>
    <w:rsid w:val="00426C41"/>
    <w:rsid w:val="00437120"/>
    <w:rsid w:val="00441DA9"/>
    <w:rsid w:val="004425D8"/>
    <w:rsid w:val="004431CB"/>
    <w:rsid w:val="004435D1"/>
    <w:rsid w:val="00444641"/>
    <w:rsid w:val="00445CBA"/>
    <w:rsid w:val="00446C06"/>
    <w:rsid w:val="00451E3E"/>
    <w:rsid w:val="004578BF"/>
    <w:rsid w:val="0046169B"/>
    <w:rsid w:val="004713BE"/>
    <w:rsid w:val="00471FFE"/>
    <w:rsid w:val="004745B7"/>
    <w:rsid w:val="0048091C"/>
    <w:rsid w:val="00482D14"/>
    <w:rsid w:val="004952B0"/>
    <w:rsid w:val="004A2BD3"/>
    <w:rsid w:val="004A66C0"/>
    <w:rsid w:val="004D2D31"/>
    <w:rsid w:val="004D7BCA"/>
    <w:rsid w:val="004E5115"/>
    <w:rsid w:val="004F473A"/>
    <w:rsid w:val="004F4955"/>
    <w:rsid w:val="00503217"/>
    <w:rsid w:val="00504CFE"/>
    <w:rsid w:val="00512117"/>
    <w:rsid w:val="00524204"/>
    <w:rsid w:val="00527124"/>
    <w:rsid w:val="00536ADA"/>
    <w:rsid w:val="005370EE"/>
    <w:rsid w:val="005578DF"/>
    <w:rsid w:val="00557E29"/>
    <w:rsid w:val="005740A3"/>
    <w:rsid w:val="00576369"/>
    <w:rsid w:val="0058242A"/>
    <w:rsid w:val="00585F33"/>
    <w:rsid w:val="00594DFC"/>
    <w:rsid w:val="005A10C5"/>
    <w:rsid w:val="005A13C3"/>
    <w:rsid w:val="005A1418"/>
    <w:rsid w:val="005A5BEC"/>
    <w:rsid w:val="005A6657"/>
    <w:rsid w:val="005B1EFA"/>
    <w:rsid w:val="005B2CE1"/>
    <w:rsid w:val="005B3A0E"/>
    <w:rsid w:val="005B4765"/>
    <w:rsid w:val="005B5E31"/>
    <w:rsid w:val="005B7270"/>
    <w:rsid w:val="005E4A16"/>
    <w:rsid w:val="005F6F3C"/>
    <w:rsid w:val="00624A1F"/>
    <w:rsid w:val="0062575D"/>
    <w:rsid w:val="006260E9"/>
    <w:rsid w:val="00630386"/>
    <w:rsid w:val="00631A49"/>
    <w:rsid w:val="00635498"/>
    <w:rsid w:val="0064D5A7"/>
    <w:rsid w:val="00656BAE"/>
    <w:rsid w:val="00661AC0"/>
    <w:rsid w:val="00664131"/>
    <w:rsid w:val="0066577C"/>
    <w:rsid w:val="006728A7"/>
    <w:rsid w:val="00673755"/>
    <w:rsid w:val="00682E31"/>
    <w:rsid w:val="006975A5"/>
    <w:rsid w:val="00697654"/>
    <w:rsid w:val="006A0E24"/>
    <w:rsid w:val="006A3083"/>
    <w:rsid w:val="006B132D"/>
    <w:rsid w:val="006B77F7"/>
    <w:rsid w:val="006C3C50"/>
    <w:rsid w:val="006C647C"/>
    <w:rsid w:val="006D1CE7"/>
    <w:rsid w:val="006D7067"/>
    <w:rsid w:val="006E0E74"/>
    <w:rsid w:val="006F474C"/>
    <w:rsid w:val="00701DB8"/>
    <w:rsid w:val="00702D5B"/>
    <w:rsid w:val="007075F9"/>
    <w:rsid w:val="007160DC"/>
    <w:rsid w:val="007345D0"/>
    <w:rsid w:val="00751D97"/>
    <w:rsid w:val="00755BC8"/>
    <w:rsid w:val="00756B8D"/>
    <w:rsid w:val="00761B9A"/>
    <w:rsid w:val="00764880"/>
    <w:rsid w:val="00764C09"/>
    <w:rsid w:val="007871FA"/>
    <w:rsid w:val="00792B4C"/>
    <w:rsid w:val="00793B1D"/>
    <w:rsid w:val="007A36D6"/>
    <w:rsid w:val="007B7311"/>
    <w:rsid w:val="007C18D8"/>
    <w:rsid w:val="007C746D"/>
    <w:rsid w:val="007C7914"/>
    <w:rsid w:val="007D4CAC"/>
    <w:rsid w:val="007D652C"/>
    <w:rsid w:val="007E5A5B"/>
    <w:rsid w:val="008032BF"/>
    <w:rsid w:val="00810462"/>
    <w:rsid w:val="00814FC2"/>
    <w:rsid w:val="008251EA"/>
    <w:rsid w:val="00826CB8"/>
    <w:rsid w:val="008415A8"/>
    <w:rsid w:val="00841943"/>
    <w:rsid w:val="00841A7E"/>
    <w:rsid w:val="00850377"/>
    <w:rsid w:val="00851533"/>
    <w:rsid w:val="008519FA"/>
    <w:rsid w:val="0086037B"/>
    <w:rsid w:val="00863A92"/>
    <w:rsid w:val="008659D1"/>
    <w:rsid w:val="008669F8"/>
    <w:rsid w:val="00874E49"/>
    <w:rsid w:val="00881F00"/>
    <w:rsid w:val="008876E5"/>
    <w:rsid w:val="008A64BE"/>
    <w:rsid w:val="008B0A05"/>
    <w:rsid w:val="008C2505"/>
    <w:rsid w:val="008D1ECE"/>
    <w:rsid w:val="008E0C24"/>
    <w:rsid w:val="008E624C"/>
    <w:rsid w:val="008ECDDB"/>
    <w:rsid w:val="008F4B76"/>
    <w:rsid w:val="008F76FE"/>
    <w:rsid w:val="00902A7D"/>
    <w:rsid w:val="00924598"/>
    <w:rsid w:val="00927182"/>
    <w:rsid w:val="00931B2F"/>
    <w:rsid w:val="0093206E"/>
    <w:rsid w:val="00941306"/>
    <w:rsid w:val="009443A1"/>
    <w:rsid w:val="00950513"/>
    <w:rsid w:val="009704D2"/>
    <w:rsid w:val="00980E55"/>
    <w:rsid w:val="00987761"/>
    <w:rsid w:val="00990564"/>
    <w:rsid w:val="009B068B"/>
    <w:rsid w:val="009B5D4B"/>
    <w:rsid w:val="009C5058"/>
    <w:rsid w:val="009D6BAE"/>
    <w:rsid w:val="009E32AC"/>
    <w:rsid w:val="009F0A96"/>
    <w:rsid w:val="009F2D5C"/>
    <w:rsid w:val="00A02213"/>
    <w:rsid w:val="00A02489"/>
    <w:rsid w:val="00A038F8"/>
    <w:rsid w:val="00A0625E"/>
    <w:rsid w:val="00A06964"/>
    <w:rsid w:val="00A57CA7"/>
    <w:rsid w:val="00A6423B"/>
    <w:rsid w:val="00A667B8"/>
    <w:rsid w:val="00A70F14"/>
    <w:rsid w:val="00A86719"/>
    <w:rsid w:val="00AA0852"/>
    <w:rsid w:val="00AA09C3"/>
    <w:rsid w:val="00AA0DAE"/>
    <w:rsid w:val="00AA2D10"/>
    <w:rsid w:val="00AB1C4A"/>
    <w:rsid w:val="00AB2CFC"/>
    <w:rsid w:val="00AB6787"/>
    <w:rsid w:val="00AE73F4"/>
    <w:rsid w:val="00AF08F0"/>
    <w:rsid w:val="00AF102E"/>
    <w:rsid w:val="00AF1CDA"/>
    <w:rsid w:val="00AF24EF"/>
    <w:rsid w:val="00AF7F0B"/>
    <w:rsid w:val="00B17D12"/>
    <w:rsid w:val="00B25B26"/>
    <w:rsid w:val="00B30DD8"/>
    <w:rsid w:val="00B374EA"/>
    <w:rsid w:val="00B533E1"/>
    <w:rsid w:val="00B53946"/>
    <w:rsid w:val="00B61B01"/>
    <w:rsid w:val="00B665F5"/>
    <w:rsid w:val="00B74D30"/>
    <w:rsid w:val="00B9113B"/>
    <w:rsid w:val="00B911D3"/>
    <w:rsid w:val="00B95AC9"/>
    <w:rsid w:val="00B96A09"/>
    <w:rsid w:val="00BA2AF4"/>
    <w:rsid w:val="00BA6B0A"/>
    <w:rsid w:val="00BB2E28"/>
    <w:rsid w:val="00BBC257"/>
    <w:rsid w:val="00BC53AC"/>
    <w:rsid w:val="00BE2147"/>
    <w:rsid w:val="00BE2186"/>
    <w:rsid w:val="00C02D0B"/>
    <w:rsid w:val="00C130C4"/>
    <w:rsid w:val="00C17D26"/>
    <w:rsid w:val="00C27D68"/>
    <w:rsid w:val="00C3068B"/>
    <w:rsid w:val="00C41CA4"/>
    <w:rsid w:val="00C51F19"/>
    <w:rsid w:val="00C56590"/>
    <w:rsid w:val="00C7301A"/>
    <w:rsid w:val="00C95E4C"/>
    <w:rsid w:val="00CA103D"/>
    <w:rsid w:val="00CD19E2"/>
    <w:rsid w:val="00CD20F9"/>
    <w:rsid w:val="00CD6503"/>
    <w:rsid w:val="00CE32CC"/>
    <w:rsid w:val="00CF6722"/>
    <w:rsid w:val="00D0727B"/>
    <w:rsid w:val="00D21538"/>
    <w:rsid w:val="00D31736"/>
    <w:rsid w:val="00D34068"/>
    <w:rsid w:val="00D342DD"/>
    <w:rsid w:val="00D40E3E"/>
    <w:rsid w:val="00D41544"/>
    <w:rsid w:val="00D42130"/>
    <w:rsid w:val="00D43C71"/>
    <w:rsid w:val="00D52217"/>
    <w:rsid w:val="00D5320D"/>
    <w:rsid w:val="00D577A1"/>
    <w:rsid w:val="00D61748"/>
    <w:rsid w:val="00D67DA5"/>
    <w:rsid w:val="00D832EF"/>
    <w:rsid w:val="00D8648E"/>
    <w:rsid w:val="00D934E4"/>
    <w:rsid w:val="00DA6899"/>
    <w:rsid w:val="00DA6EC9"/>
    <w:rsid w:val="00DC6CF7"/>
    <w:rsid w:val="00DE02CF"/>
    <w:rsid w:val="00DE464C"/>
    <w:rsid w:val="00DE6B71"/>
    <w:rsid w:val="00DE7C9A"/>
    <w:rsid w:val="00DF5454"/>
    <w:rsid w:val="00E0FE9E"/>
    <w:rsid w:val="00E13334"/>
    <w:rsid w:val="00E13A6A"/>
    <w:rsid w:val="00E277FD"/>
    <w:rsid w:val="00E27E25"/>
    <w:rsid w:val="00E32AE2"/>
    <w:rsid w:val="00E35B88"/>
    <w:rsid w:val="00E403A8"/>
    <w:rsid w:val="00E43815"/>
    <w:rsid w:val="00E47204"/>
    <w:rsid w:val="00E55E7E"/>
    <w:rsid w:val="00E5738D"/>
    <w:rsid w:val="00E63413"/>
    <w:rsid w:val="00E646B3"/>
    <w:rsid w:val="00E743ED"/>
    <w:rsid w:val="00E75683"/>
    <w:rsid w:val="00EB70B0"/>
    <w:rsid w:val="00EC27D4"/>
    <w:rsid w:val="00EC4838"/>
    <w:rsid w:val="00ED21CD"/>
    <w:rsid w:val="00ED5A8F"/>
    <w:rsid w:val="00EE13DC"/>
    <w:rsid w:val="00EE32CD"/>
    <w:rsid w:val="00F06F25"/>
    <w:rsid w:val="00F20165"/>
    <w:rsid w:val="00F2508D"/>
    <w:rsid w:val="00F419C8"/>
    <w:rsid w:val="00F5628A"/>
    <w:rsid w:val="00F675D1"/>
    <w:rsid w:val="00F74562"/>
    <w:rsid w:val="00F74A01"/>
    <w:rsid w:val="00F760BD"/>
    <w:rsid w:val="00F92095"/>
    <w:rsid w:val="00F925CC"/>
    <w:rsid w:val="00F968B5"/>
    <w:rsid w:val="00FB0B6A"/>
    <w:rsid w:val="00FC34D9"/>
    <w:rsid w:val="00FC5E4F"/>
    <w:rsid w:val="00FC62BE"/>
    <w:rsid w:val="00FD3E7E"/>
    <w:rsid w:val="00FF349A"/>
    <w:rsid w:val="013E3AF2"/>
    <w:rsid w:val="0290BDA5"/>
    <w:rsid w:val="054555E3"/>
    <w:rsid w:val="07E8B607"/>
    <w:rsid w:val="093B7F5D"/>
    <w:rsid w:val="094D2CEC"/>
    <w:rsid w:val="09BC63CD"/>
    <w:rsid w:val="0A34367C"/>
    <w:rsid w:val="0B316158"/>
    <w:rsid w:val="0B65C554"/>
    <w:rsid w:val="0BE5AD50"/>
    <w:rsid w:val="0D4908E2"/>
    <w:rsid w:val="0D910E9F"/>
    <w:rsid w:val="0E22F86A"/>
    <w:rsid w:val="0F4A982F"/>
    <w:rsid w:val="1123821A"/>
    <w:rsid w:val="11359C11"/>
    <w:rsid w:val="12EB9723"/>
    <w:rsid w:val="13342D30"/>
    <w:rsid w:val="13CA2536"/>
    <w:rsid w:val="1415F489"/>
    <w:rsid w:val="14D35F12"/>
    <w:rsid w:val="154990C8"/>
    <w:rsid w:val="156B3918"/>
    <w:rsid w:val="169CB30E"/>
    <w:rsid w:val="16DDFBB8"/>
    <w:rsid w:val="17A73627"/>
    <w:rsid w:val="1843E861"/>
    <w:rsid w:val="18910887"/>
    <w:rsid w:val="18F1287A"/>
    <w:rsid w:val="1A1451D1"/>
    <w:rsid w:val="1A2A7B65"/>
    <w:rsid w:val="1CD62347"/>
    <w:rsid w:val="1D826B58"/>
    <w:rsid w:val="1D8820CF"/>
    <w:rsid w:val="1E3AD9AC"/>
    <w:rsid w:val="1EC49BB5"/>
    <w:rsid w:val="1F1F43D0"/>
    <w:rsid w:val="21154570"/>
    <w:rsid w:val="2289586A"/>
    <w:rsid w:val="22927960"/>
    <w:rsid w:val="2402CB93"/>
    <w:rsid w:val="24901D6F"/>
    <w:rsid w:val="26972787"/>
    <w:rsid w:val="26E763E4"/>
    <w:rsid w:val="276D3880"/>
    <w:rsid w:val="27A5A02A"/>
    <w:rsid w:val="27D10A06"/>
    <w:rsid w:val="299BE82C"/>
    <w:rsid w:val="29CBECE9"/>
    <w:rsid w:val="29D352A6"/>
    <w:rsid w:val="2AF7E615"/>
    <w:rsid w:val="2C9EB3D8"/>
    <w:rsid w:val="2D9B7C57"/>
    <w:rsid w:val="2ECB3FA3"/>
    <w:rsid w:val="2F4D01DC"/>
    <w:rsid w:val="300C23FF"/>
    <w:rsid w:val="304AA9AD"/>
    <w:rsid w:val="308704DC"/>
    <w:rsid w:val="308DD0B7"/>
    <w:rsid w:val="30E0BA92"/>
    <w:rsid w:val="31098788"/>
    <w:rsid w:val="3277F80D"/>
    <w:rsid w:val="32BB6AFC"/>
    <w:rsid w:val="32C2C9A1"/>
    <w:rsid w:val="3327386E"/>
    <w:rsid w:val="3375C983"/>
    <w:rsid w:val="33861336"/>
    <w:rsid w:val="36637FE6"/>
    <w:rsid w:val="36D643B0"/>
    <w:rsid w:val="36E49EC9"/>
    <w:rsid w:val="371D1864"/>
    <w:rsid w:val="3754AA82"/>
    <w:rsid w:val="37DED1F4"/>
    <w:rsid w:val="37E09B48"/>
    <w:rsid w:val="39EB3AFB"/>
    <w:rsid w:val="3A276209"/>
    <w:rsid w:val="3A3E3D09"/>
    <w:rsid w:val="3A720022"/>
    <w:rsid w:val="3A8F41C4"/>
    <w:rsid w:val="3B21C60A"/>
    <w:rsid w:val="3CE1005C"/>
    <w:rsid w:val="3E471E87"/>
    <w:rsid w:val="3F9EA67B"/>
    <w:rsid w:val="4012C583"/>
    <w:rsid w:val="413467AF"/>
    <w:rsid w:val="41745ED9"/>
    <w:rsid w:val="41F0321A"/>
    <w:rsid w:val="4285B5EC"/>
    <w:rsid w:val="43A6FA04"/>
    <w:rsid w:val="443AB2C0"/>
    <w:rsid w:val="462CA174"/>
    <w:rsid w:val="46711D33"/>
    <w:rsid w:val="46F843B5"/>
    <w:rsid w:val="47D0EBA9"/>
    <w:rsid w:val="480A16F3"/>
    <w:rsid w:val="483761F3"/>
    <w:rsid w:val="485000E5"/>
    <w:rsid w:val="4BB926BD"/>
    <w:rsid w:val="4BDA6C4D"/>
    <w:rsid w:val="4C6EA288"/>
    <w:rsid w:val="4E15FFBD"/>
    <w:rsid w:val="4EA73600"/>
    <w:rsid w:val="4EE23B1E"/>
    <w:rsid w:val="4F0E2987"/>
    <w:rsid w:val="4F26D6F1"/>
    <w:rsid w:val="4F63DA69"/>
    <w:rsid w:val="5018978E"/>
    <w:rsid w:val="504D22C0"/>
    <w:rsid w:val="50C4EB7D"/>
    <w:rsid w:val="5130BB37"/>
    <w:rsid w:val="516DD5FE"/>
    <w:rsid w:val="51B1F615"/>
    <w:rsid w:val="53809582"/>
    <w:rsid w:val="5583E111"/>
    <w:rsid w:val="55FA311B"/>
    <w:rsid w:val="56DDCCAA"/>
    <w:rsid w:val="57F8CF86"/>
    <w:rsid w:val="58A997BD"/>
    <w:rsid w:val="5920233F"/>
    <w:rsid w:val="598C25C2"/>
    <w:rsid w:val="59A50006"/>
    <w:rsid w:val="5D102E5C"/>
    <w:rsid w:val="5DACB3CD"/>
    <w:rsid w:val="5E53B25A"/>
    <w:rsid w:val="5EAE70AA"/>
    <w:rsid w:val="5FECD2F0"/>
    <w:rsid w:val="605B4E02"/>
    <w:rsid w:val="61B0F935"/>
    <w:rsid w:val="61FA8FE3"/>
    <w:rsid w:val="62207899"/>
    <w:rsid w:val="62CBC6C7"/>
    <w:rsid w:val="63E456BB"/>
    <w:rsid w:val="64DD20B5"/>
    <w:rsid w:val="65E5DCF5"/>
    <w:rsid w:val="663103F0"/>
    <w:rsid w:val="66775036"/>
    <w:rsid w:val="6747E0AC"/>
    <w:rsid w:val="6889EEA5"/>
    <w:rsid w:val="694991EA"/>
    <w:rsid w:val="69BEEF2E"/>
    <w:rsid w:val="6B2C5C0B"/>
    <w:rsid w:val="6BF4BDBB"/>
    <w:rsid w:val="6C391E95"/>
    <w:rsid w:val="6C6F1CFA"/>
    <w:rsid w:val="6CE49769"/>
    <w:rsid w:val="6CF13C2F"/>
    <w:rsid w:val="6D5F9942"/>
    <w:rsid w:val="6DDFEE14"/>
    <w:rsid w:val="6E12EC99"/>
    <w:rsid w:val="6E4F45FB"/>
    <w:rsid w:val="701C923B"/>
    <w:rsid w:val="709A5DDF"/>
    <w:rsid w:val="712BA3E8"/>
    <w:rsid w:val="73024DFC"/>
    <w:rsid w:val="73C5B78C"/>
    <w:rsid w:val="74AE5125"/>
    <w:rsid w:val="75B1023C"/>
    <w:rsid w:val="76DFD907"/>
    <w:rsid w:val="77BEF4DD"/>
    <w:rsid w:val="77F840FA"/>
    <w:rsid w:val="783E27BF"/>
    <w:rsid w:val="787FB266"/>
    <w:rsid w:val="78D7BF8A"/>
    <w:rsid w:val="79B8B5AE"/>
    <w:rsid w:val="79F974EF"/>
    <w:rsid w:val="7A6EEF72"/>
    <w:rsid w:val="7AE2D28B"/>
    <w:rsid w:val="7C751A33"/>
    <w:rsid w:val="7CB443BC"/>
    <w:rsid w:val="7CE0B56E"/>
    <w:rsid w:val="7D05D354"/>
    <w:rsid w:val="7D49E699"/>
    <w:rsid w:val="7D5A6FCD"/>
    <w:rsid w:val="7D5B4127"/>
    <w:rsid w:val="7D735928"/>
    <w:rsid w:val="7E2E8228"/>
    <w:rsid w:val="7FDBD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30"/>
  <w15:docId w15:val="{07E8DD8B-39BC-4326-A477-C13C859C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7CA7"/>
    <w:pPr>
      <w:spacing w:before="120" w:after="120" w:line="276" w:lineRule="auto"/>
    </w:pPr>
    <w:rPr>
      <w:rFonts w:ascii="Open Sans" w:hAnsi="Open Sans"/>
      <w:sz w:val="22"/>
    </w:rPr>
  </w:style>
  <w:style w:type="paragraph" w:styleId="Heading1">
    <w:name w:val="heading 1"/>
    <w:basedOn w:val="Normal"/>
    <w:next w:val="Normal"/>
    <w:link w:val="Heading1Char"/>
    <w:autoRedefine/>
    <w:uiPriority w:val="9"/>
    <w:qFormat/>
    <w:rsid w:val="00A57CA7"/>
    <w:pPr>
      <w:keepNext/>
      <w:keepLines/>
      <w:outlineLvl w:val="0"/>
    </w:pPr>
    <w:rPr>
      <w:rFonts w:eastAsiaTheme="majorEastAsia" w:cstheme="majorBidi"/>
      <w:b/>
      <w:color w:val="D50032" w:themeColor="text2"/>
      <w:sz w:val="36"/>
      <w:szCs w:val="32"/>
    </w:rPr>
  </w:style>
  <w:style w:type="paragraph" w:styleId="Heading2">
    <w:name w:val="heading 2"/>
    <w:basedOn w:val="Normal"/>
    <w:next w:val="Normal"/>
    <w:link w:val="Heading2Char"/>
    <w:autoRedefine/>
    <w:uiPriority w:val="9"/>
    <w:unhideWhenUsed/>
    <w:qFormat/>
    <w:rsid w:val="00A57CA7"/>
    <w:pPr>
      <w:keepNext/>
      <w:keepLines/>
      <w:spacing w:before="200"/>
      <w:outlineLvl w:val="1"/>
    </w:pPr>
    <w:rPr>
      <w:rFonts w:eastAsiaTheme="majorEastAsia" w:cstheme="majorBidi"/>
      <w:b/>
      <w:bCs/>
      <w:color w:val="D50032" w:themeColor="text2"/>
      <w:sz w:val="32"/>
      <w:szCs w:val="26"/>
    </w:rPr>
  </w:style>
  <w:style w:type="paragraph" w:styleId="Heading3">
    <w:name w:val="heading 3"/>
    <w:basedOn w:val="Heading1"/>
    <w:next w:val="Normal"/>
    <w:link w:val="Heading3Char"/>
    <w:autoRedefine/>
    <w:uiPriority w:val="9"/>
    <w:unhideWhenUsed/>
    <w:qFormat/>
    <w:rsid w:val="004E5115"/>
    <w:pPr>
      <w:spacing w:before="200"/>
      <w:outlineLvl w:val="2"/>
    </w:pPr>
    <w:rPr>
      <w:color w:val="auto"/>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styleId="HeaderChar" w:customStyle="1">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styleId="FooterChar" w:customStyle="1">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autoRedefine/>
    <w:uiPriority w:val="34"/>
    <w:qFormat/>
    <w:rsid w:val="00DE02CF"/>
    <w:pPr>
      <w:numPr>
        <w:numId w:val="9"/>
      </w:numPr>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semiHidden/>
    <w:unhideWhenUsed/>
    <w:rsid w:val="004D2D31"/>
    <w:rPr>
      <w:rFonts w:ascii="Times New Roman" w:hAnsi="Times New Roman" w:cs="Times New Roman"/>
    </w:rPr>
  </w:style>
  <w:style w:type="character" w:styleId="Heading2Char" w:customStyle="1">
    <w:name w:val="Heading 2 Char"/>
    <w:basedOn w:val="DefaultParagraphFont"/>
    <w:link w:val="Heading2"/>
    <w:uiPriority w:val="9"/>
    <w:rsid w:val="00A57CA7"/>
    <w:rPr>
      <w:rFonts w:ascii="Open Sans" w:hAnsi="Open Sans" w:eastAsiaTheme="majorEastAsia" w:cstheme="majorBidi"/>
      <w:b/>
      <w:bCs/>
      <w:color w:val="D50032" w:themeColor="text2"/>
      <w:sz w:val="32"/>
      <w:szCs w:val="26"/>
    </w:rPr>
  </w:style>
  <w:style w:type="table" w:styleId="TableGrid">
    <w:name w:val="Table Grid"/>
    <w:basedOn w:val="TableNormal"/>
    <w:uiPriority w:val="59"/>
    <w:rsid w:val="00826C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2">
    <w:name w:val="Light List Accent 2"/>
    <w:basedOn w:val="TableNormal"/>
    <w:uiPriority w:val="61"/>
    <w:rsid w:val="00792B4C"/>
    <w:tblPr>
      <w:tblStyleRowBandSize w:val="1"/>
      <w:tblStyleColBandSize w:val="1"/>
      <w:tblBorders>
        <w:top w:val="single" w:color="FFB81C" w:themeColor="accent2" w:sz="8" w:space="0"/>
        <w:left w:val="single" w:color="FFB81C" w:themeColor="accent2" w:sz="8" w:space="0"/>
        <w:bottom w:val="single" w:color="FFB81C" w:themeColor="accent2" w:sz="8" w:space="0"/>
        <w:right w:val="single" w:color="FFB81C" w:themeColor="accent2" w:sz="8" w:space="0"/>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color="FFB81C" w:themeColor="accent2" w:sz="6" w:space="0"/>
          <w:left w:val="single" w:color="FFB81C" w:themeColor="accent2" w:sz="8" w:space="0"/>
          <w:bottom w:val="single" w:color="FFB81C" w:themeColor="accent2" w:sz="8" w:space="0"/>
          <w:right w:val="single" w:color="FFB81C" w:themeColor="accent2" w:sz="8" w:space="0"/>
        </w:tcBorders>
      </w:tcPr>
    </w:tblStylePr>
    <w:tblStylePr w:type="firstCol">
      <w:rPr>
        <w:b/>
        <w:bCs/>
      </w:rPr>
    </w:tblStylePr>
    <w:tblStylePr w:type="lastCol">
      <w:rPr>
        <w:b/>
        <w:bCs/>
      </w:rPr>
    </w:tblStylePr>
    <w:tblStylePr w:type="band1Vert">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tblStylePr w:type="band1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style>
  <w:style w:type="table" w:styleId="LightGrid-Accent2">
    <w:name w:val="Light Grid Accent 2"/>
    <w:basedOn w:val="TableNormal"/>
    <w:uiPriority w:val="62"/>
    <w:rsid w:val="00792B4C"/>
    <w:tblPr>
      <w:tblStyleRowBandSize w:val="1"/>
      <w:tblStyleColBandSize w:val="1"/>
      <w:tblBorders>
        <w:top w:val="single" w:color="FFB81C" w:themeColor="accent2" w:sz="8" w:space="0"/>
        <w:left w:val="single" w:color="FFB81C" w:themeColor="accent2" w:sz="8" w:space="0"/>
        <w:bottom w:val="single" w:color="FFB81C" w:themeColor="accent2" w:sz="8" w:space="0"/>
        <w:right w:val="single" w:color="FFB81C" w:themeColor="accent2" w:sz="8" w:space="0"/>
        <w:insideH w:val="single" w:color="FFB81C" w:themeColor="accent2" w:sz="8" w:space="0"/>
        <w:insideV w:val="single" w:color="FFB81C"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B81C" w:themeColor="accent2" w:sz="8" w:space="0"/>
          <w:left w:val="single" w:color="FFB81C" w:themeColor="accent2" w:sz="8" w:space="0"/>
          <w:bottom w:val="single" w:color="FFB81C" w:themeColor="accent2" w:sz="18" w:space="0"/>
          <w:right w:val="single" w:color="FFB81C" w:themeColor="accent2" w:sz="8" w:space="0"/>
          <w:insideH w:val="nil"/>
          <w:insideV w:val="single" w:color="FFB81C"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B81C" w:themeColor="accent2" w:sz="6" w:space="0"/>
          <w:left w:val="single" w:color="FFB81C" w:themeColor="accent2" w:sz="8" w:space="0"/>
          <w:bottom w:val="single" w:color="FFB81C" w:themeColor="accent2" w:sz="8" w:space="0"/>
          <w:right w:val="single" w:color="FFB81C" w:themeColor="accent2" w:sz="8" w:space="0"/>
          <w:insideH w:val="nil"/>
          <w:insideV w:val="single" w:color="FFB81C"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tblStylePr w:type="band1Vert">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shd w:val="clear" w:color="auto" w:fill="FFEDC6" w:themeFill="accent2" w:themeFillTint="3F"/>
      </w:tcPr>
    </w:tblStylePr>
    <w:tblStylePr w:type="band1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insideV w:val="single" w:color="FFB81C" w:themeColor="accent2" w:sz="8" w:space="0"/>
        </w:tcBorders>
        <w:shd w:val="clear" w:color="auto" w:fill="FFEDC6" w:themeFill="accent2" w:themeFillTint="3F"/>
      </w:tcPr>
    </w:tblStylePr>
    <w:tblStylePr w:type="band2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insideV w:val="single" w:color="FFB81C" w:themeColor="accent2" w:sz="8" w:space="0"/>
        </w:tcBorders>
      </w:tcPr>
    </w:tblStylePr>
  </w:style>
  <w:style w:type="table" w:styleId="MediumList2">
    <w:name w:val="Medium List 2"/>
    <w:basedOn w:val="TableNormal"/>
    <w:uiPriority w:val="66"/>
    <w:rsid w:val="00792B4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D5003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E32AE2"/>
    <w:pPr>
      <w:spacing w:after="0"/>
    </w:pPr>
    <w:rPr>
      <w:iCs/>
      <w:sz w:val="20"/>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NoSpacing">
    <w:name w:val="No Spacing"/>
    <w:basedOn w:val="Normal"/>
    <w:autoRedefine/>
    <w:uiPriority w:val="1"/>
    <w:qFormat/>
    <w:rsid w:val="00A57CA7"/>
    <w:pPr>
      <w:spacing w:line="240" w:lineRule="auto"/>
    </w:pPr>
  </w:style>
  <w:style w:type="character" w:styleId="Heading1Char" w:customStyle="1">
    <w:name w:val="Heading 1 Char"/>
    <w:basedOn w:val="DefaultParagraphFont"/>
    <w:link w:val="Heading1"/>
    <w:uiPriority w:val="9"/>
    <w:rsid w:val="00A57CA7"/>
    <w:rPr>
      <w:rFonts w:ascii="Open Sans" w:hAnsi="Open Sans" w:eastAsiaTheme="majorEastAsia" w:cstheme="majorBidi"/>
      <w:b/>
      <w:color w:val="D50032" w:themeColor="text2"/>
      <w:sz w:val="36"/>
      <w:szCs w:val="32"/>
    </w:rPr>
  </w:style>
  <w:style w:type="character" w:styleId="Heading3Char" w:customStyle="1">
    <w:name w:val="Heading 3 Char"/>
    <w:basedOn w:val="DefaultParagraphFont"/>
    <w:link w:val="Heading3"/>
    <w:uiPriority w:val="9"/>
    <w:rsid w:val="004E5115"/>
    <w:rPr>
      <w:rFonts w:ascii="Open Sans" w:hAnsi="Open Sans" w:eastAsiaTheme="majorEastAsia" w:cstheme="majorBidi"/>
      <w:b/>
      <w:sz w:val="22"/>
      <w:szCs w:val="32"/>
    </w:rPr>
  </w:style>
  <w:style w:type="character" w:styleId="CommentReference">
    <w:name w:val="annotation reference"/>
    <w:basedOn w:val="DefaultParagraphFont"/>
    <w:uiPriority w:val="99"/>
    <w:semiHidden/>
    <w:unhideWhenUsed/>
    <w:rsid w:val="00111B23"/>
    <w:rPr>
      <w:sz w:val="16"/>
      <w:szCs w:val="16"/>
    </w:rPr>
  </w:style>
  <w:style w:type="paragraph" w:styleId="CommentText">
    <w:name w:val="annotation text"/>
    <w:basedOn w:val="Normal"/>
    <w:link w:val="CommentTextChar"/>
    <w:uiPriority w:val="99"/>
    <w:unhideWhenUsed/>
    <w:rsid w:val="00111B23"/>
    <w:rPr>
      <w:sz w:val="20"/>
      <w:szCs w:val="20"/>
    </w:rPr>
  </w:style>
  <w:style w:type="character" w:styleId="CommentTextChar" w:customStyle="1">
    <w:name w:val="Comment Text Char"/>
    <w:basedOn w:val="DefaultParagraphFont"/>
    <w:link w:val="CommentText"/>
    <w:uiPriority w:val="99"/>
    <w:rsid w:val="00111B23"/>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11B23"/>
    <w:rPr>
      <w:b/>
      <w:bCs/>
    </w:rPr>
  </w:style>
  <w:style w:type="character" w:styleId="CommentSubjectChar" w:customStyle="1">
    <w:name w:val="Comment Subject Char"/>
    <w:basedOn w:val="CommentTextChar"/>
    <w:link w:val="CommentSubject"/>
    <w:uiPriority w:val="99"/>
    <w:semiHidden/>
    <w:rsid w:val="00111B23"/>
    <w:rPr>
      <w:rFonts w:ascii="Open Sans" w:hAnsi="Open Sans"/>
      <w:b/>
      <w:bCs/>
      <w:sz w:val="20"/>
      <w:szCs w:val="20"/>
    </w:rPr>
  </w:style>
  <w:style w:type="paragraph" w:styleId="TableHeader" w:customStyle="1">
    <w:name w:val="Table Header"/>
    <w:basedOn w:val="Heading1"/>
    <w:link w:val="TableHeaderChar"/>
    <w:qFormat/>
    <w:rsid w:val="00A57CA7"/>
    <w:rPr>
      <w:rFonts w:cs="Open Sans"/>
      <w:b w:val="0"/>
      <w:iCs/>
      <w:color w:val="000000" w:themeColor="text1"/>
      <w:sz w:val="22"/>
      <w:szCs w:val="20"/>
    </w:rPr>
  </w:style>
  <w:style w:type="character" w:styleId="TableHeaderChar" w:customStyle="1">
    <w:name w:val="Table Header Char"/>
    <w:basedOn w:val="DefaultParagraphFont"/>
    <w:link w:val="TableHeader"/>
    <w:rsid w:val="00A57CA7"/>
    <w:rPr>
      <w:rFonts w:ascii="Open Sans" w:hAnsi="Open Sans" w:cs="Open Sans" w:eastAsiaTheme="majorEastAsia"/>
      <w:iCs/>
      <w:color w:val="000000" w:themeColor="text1"/>
      <w:sz w:val="22"/>
      <w:szCs w:val="20"/>
    </w:rPr>
  </w:style>
  <w:style w:type="paragraph" w:styleId="Revision">
    <w:name w:val="Revision"/>
    <w:hidden/>
    <w:uiPriority w:val="99"/>
    <w:semiHidden/>
    <w:rsid w:val="00B53946"/>
    <w:pPr>
      <w:spacing w:after="0"/>
    </w:pPr>
    <w:rPr>
      <w:rFonts w:ascii="Open Sans" w:hAnsi="Open Sans"/>
      <w:sz w:val="22"/>
    </w:rPr>
  </w:style>
  <w:style w:type="character" w:styleId="Mention">
    <w:name w:val="Mention"/>
    <w:basedOn w:val="DefaultParagraphFont"/>
    <w:uiPriority w:val="99"/>
    <w:unhideWhenUsed/>
    <w:rsid w:val="00DA6E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12410839">
      <w:bodyDiv w:val="1"/>
      <w:marLeft w:val="0"/>
      <w:marRight w:val="0"/>
      <w:marTop w:val="0"/>
      <w:marBottom w:val="0"/>
      <w:divBdr>
        <w:top w:val="none" w:sz="0" w:space="0" w:color="auto"/>
        <w:left w:val="none" w:sz="0" w:space="0" w:color="auto"/>
        <w:bottom w:val="none" w:sz="0" w:space="0" w:color="auto"/>
        <w:right w:val="none" w:sz="0" w:space="0" w:color="auto"/>
      </w:divBdr>
    </w:div>
    <w:div w:id="373576349">
      <w:bodyDiv w:val="1"/>
      <w:marLeft w:val="0"/>
      <w:marRight w:val="0"/>
      <w:marTop w:val="0"/>
      <w:marBottom w:val="0"/>
      <w:divBdr>
        <w:top w:val="none" w:sz="0" w:space="0" w:color="auto"/>
        <w:left w:val="none" w:sz="0" w:space="0" w:color="auto"/>
        <w:bottom w:val="none" w:sz="0" w:space="0" w:color="auto"/>
        <w:right w:val="none" w:sz="0" w:space="0" w:color="auto"/>
      </w:divBdr>
      <w:divsChild>
        <w:div w:id="363217522">
          <w:marLeft w:val="0"/>
          <w:marRight w:val="0"/>
          <w:marTop w:val="0"/>
          <w:marBottom w:val="0"/>
          <w:divBdr>
            <w:top w:val="none" w:sz="0" w:space="0" w:color="auto"/>
            <w:left w:val="none" w:sz="0" w:space="0" w:color="auto"/>
            <w:bottom w:val="none" w:sz="0" w:space="0" w:color="auto"/>
            <w:right w:val="none" w:sz="0" w:space="0" w:color="auto"/>
          </w:divBdr>
        </w:div>
        <w:div w:id="694845069">
          <w:marLeft w:val="0"/>
          <w:marRight w:val="0"/>
          <w:marTop w:val="0"/>
          <w:marBottom w:val="0"/>
          <w:divBdr>
            <w:top w:val="none" w:sz="0" w:space="0" w:color="auto"/>
            <w:left w:val="none" w:sz="0" w:space="0" w:color="auto"/>
            <w:bottom w:val="none" w:sz="0" w:space="0" w:color="auto"/>
            <w:right w:val="none" w:sz="0" w:space="0" w:color="auto"/>
          </w:divBdr>
        </w:div>
        <w:div w:id="912467973">
          <w:marLeft w:val="0"/>
          <w:marRight w:val="0"/>
          <w:marTop w:val="0"/>
          <w:marBottom w:val="0"/>
          <w:divBdr>
            <w:top w:val="none" w:sz="0" w:space="0" w:color="auto"/>
            <w:left w:val="none" w:sz="0" w:space="0" w:color="auto"/>
            <w:bottom w:val="none" w:sz="0" w:space="0" w:color="auto"/>
            <w:right w:val="none" w:sz="0" w:space="0" w:color="auto"/>
          </w:divBdr>
        </w:div>
        <w:div w:id="1264148142">
          <w:marLeft w:val="0"/>
          <w:marRight w:val="0"/>
          <w:marTop w:val="0"/>
          <w:marBottom w:val="0"/>
          <w:divBdr>
            <w:top w:val="none" w:sz="0" w:space="0" w:color="auto"/>
            <w:left w:val="none" w:sz="0" w:space="0" w:color="auto"/>
            <w:bottom w:val="none" w:sz="0" w:space="0" w:color="auto"/>
            <w:right w:val="none" w:sz="0" w:space="0" w:color="auto"/>
          </w:divBdr>
        </w:div>
        <w:div w:id="1326785847">
          <w:marLeft w:val="0"/>
          <w:marRight w:val="0"/>
          <w:marTop w:val="0"/>
          <w:marBottom w:val="0"/>
          <w:divBdr>
            <w:top w:val="none" w:sz="0" w:space="0" w:color="auto"/>
            <w:left w:val="none" w:sz="0" w:space="0" w:color="auto"/>
            <w:bottom w:val="none" w:sz="0" w:space="0" w:color="auto"/>
            <w:right w:val="none" w:sz="0" w:space="0" w:color="auto"/>
          </w:divBdr>
        </w:div>
        <w:div w:id="1612279681">
          <w:marLeft w:val="0"/>
          <w:marRight w:val="0"/>
          <w:marTop w:val="0"/>
          <w:marBottom w:val="0"/>
          <w:divBdr>
            <w:top w:val="none" w:sz="0" w:space="0" w:color="auto"/>
            <w:left w:val="none" w:sz="0" w:space="0" w:color="auto"/>
            <w:bottom w:val="none" w:sz="0" w:space="0" w:color="auto"/>
            <w:right w:val="none" w:sz="0" w:space="0" w:color="auto"/>
          </w:divBdr>
        </w:div>
        <w:div w:id="1731878395">
          <w:marLeft w:val="0"/>
          <w:marRight w:val="0"/>
          <w:marTop w:val="0"/>
          <w:marBottom w:val="0"/>
          <w:divBdr>
            <w:top w:val="none" w:sz="0" w:space="0" w:color="auto"/>
            <w:left w:val="none" w:sz="0" w:space="0" w:color="auto"/>
            <w:bottom w:val="none" w:sz="0" w:space="0" w:color="auto"/>
            <w:right w:val="none" w:sz="0" w:space="0" w:color="auto"/>
          </w:divBdr>
        </w:div>
      </w:divsChild>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690690735">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sChild>
        <w:div w:id="175772115">
          <w:marLeft w:val="0"/>
          <w:marRight w:val="0"/>
          <w:marTop w:val="0"/>
          <w:marBottom w:val="0"/>
          <w:divBdr>
            <w:top w:val="none" w:sz="0" w:space="0" w:color="auto"/>
            <w:left w:val="none" w:sz="0" w:space="0" w:color="auto"/>
            <w:bottom w:val="none" w:sz="0" w:space="0" w:color="auto"/>
            <w:right w:val="none" w:sz="0" w:space="0" w:color="auto"/>
          </w:divBdr>
        </w:div>
        <w:div w:id="501043519">
          <w:marLeft w:val="0"/>
          <w:marRight w:val="0"/>
          <w:marTop w:val="0"/>
          <w:marBottom w:val="0"/>
          <w:divBdr>
            <w:top w:val="none" w:sz="0" w:space="0" w:color="auto"/>
            <w:left w:val="none" w:sz="0" w:space="0" w:color="auto"/>
            <w:bottom w:val="none" w:sz="0" w:space="0" w:color="auto"/>
            <w:right w:val="none" w:sz="0" w:space="0" w:color="auto"/>
          </w:divBdr>
        </w:div>
        <w:div w:id="867260214">
          <w:marLeft w:val="0"/>
          <w:marRight w:val="0"/>
          <w:marTop w:val="0"/>
          <w:marBottom w:val="0"/>
          <w:divBdr>
            <w:top w:val="none" w:sz="0" w:space="0" w:color="auto"/>
            <w:left w:val="none" w:sz="0" w:space="0" w:color="auto"/>
            <w:bottom w:val="none" w:sz="0" w:space="0" w:color="auto"/>
            <w:right w:val="none" w:sz="0" w:space="0" w:color="auto"/>
          </w:divBdr>
        </w:div>
        <w:div w:id="1029793050">
          <w:marLeft w:val="0"/>
          <w:marRight w:val="0"/>
          <w:marTop w:val="0"/>
          <w:marBottom w:val="0"/>
          <w:divBdr>
            <w:top w:val="none" w:sz="0" w:space="0" w:color="auto"/>
            <w:left w:val="none" w:sz="0" w:space="0" w:color="auto"/>
            <w:bottom w:val="none" w:sz="0" w:space="0" w:color="auto"/>
            <w:right w:val="none" w:sz="0" w:space="0" w:color="auto"/>
          </w:divBdr>
        </w:div>
        <w:div w:id="1043797799">
          <w:marLeft w:val="0"/>
          <w:marRight w:val="0"/>
          <w:marTop w:val="0"/>
          <w:marBottom w:val="0"/>
          <w:divBdr>
            <w:top w:val="none" w:sz="0" w:space="0" w:color="auto"/>
            <w:left w:val="none" w:sz="0" w:space="0" w:color="auto"/>
            <w:bottom w:val="none" w:sz="0" w:space="0" w:color="auto"/>
            <w:right w:val="none" w:sz="0" w:space="0" w:color="auto"/>
          </w:divBdr>
        </w:div>
        <w:div w:id="1299989553">
          <w:marLeft w:val="0"/>
          <w:marRight w:val="0"/>
          <w:marTop w:val="0"/>
          <w:marBottom w:val="0"/>
          <w:divBdr>
            <w:top w:val="none" w:sz="0" w:space="0" w:color="auto"/>
            <w:left w:val="none" w:sz="0" w:space="0" w:color="auto"/>
            <w:bottom w:val="none" w:sz="0" w:space="0" w:color="auto"/>
            <w:right w:val="none" w:sz="0" w:space="0" w:color="auto"/>
          </w:divBdr>
        </w:div>
        <w:div w:id="1776826600">
          <w:marLeft w:val="0"/>
          <w:marRight w:val="0"/>
          <w:marTop w:val="0"/>
          <w:marBottom w:val="0"/>
          <w:divBdr>
            <w:top w:val="none" w:sz="0" w:space="0" w:color="auto"/>
            <w:left w:val="none" w:sz="0" w:space="0" w:color="auto"/>
            <w:bottom w:val="none" w:sz="0" w:space="0" w:color="auto"/>
            <w:right w:val="none" w:sz="0" w:space="0" w:color="auto"/>
          </w:divBdr>
        </w:div>
      </w:divsChild>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sults.org/wp-content/uploads/FY27-MCH-Gavi-Nutrition-Appropriations-Memo.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ULTS">
      <a:dk1>
        <a:sysClr val="windowText" lastClr="000000"/>
      </a:dk1>
      <a:lt1>
        <a:srgbClr val="FFFFFF"/>
      </a:lt1>
      <a:dk2>
        <a:srgbClr val="D50032"/>
      </a:dk2>
      <a:lt2>
        <a:srgbClr val="F3F0E9"/>
      </a:lt2>
      <a:accent1>
        <a:srgbClr val="29B5CF"/>
      </a:accent1>
      <a:accent2>
        <a:srgbClr val="FFB81C"/>
      </a:accent2>
      <a:accent3>
        <a:srgbClr val="56AB46"/>
      </a:accent3>
      <a:accent4>
        <a:srgbClr val="886BB0"/>
      </a:accent4>
      <a:accent5>
        <a:srgbClr val="C645A4"/>
      </a:accent5>
      <a:accent6>
        <a:srgbClr val="F77024"/>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b1ed30-283c-4f99-9519-935da07f59a1">
      <Terms xmlns="http://schemas.microsoft.com/office/infopath/2007/PartnerControls"/>
    </lcf76f155ced4ddcb4097134ff3c332f>
    <TaxCatchAll xmlns="876372d7-2542-4065-ad3b-22612840f7b4" xsi:nil="true"/>
    <SharedWithUsers xmlns="876372d7-2542-4065-ad3b-22612840f7b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3B86C6AC81184AA3BD83FEEB7F7549" ma:contentTypeVersion="17" ma:contentTypeDescription="Create a new document." ma:contentTypeScope="" ma:versionID="58a8f2ecb76d3f90a04fb9eb8c8ac382">
  <xsd:schema xmlns:xsd="http://www.w3.org/2001/XMLSchema" xmlns:xs="http://www.w3.org/2001/XMLSchema" xmlns:p="http://schemas.microsoft.com/office/2006/metadata/properties" xmlns:ns2="876372d7-2542-4065-ad3b-22612840f7b4" xmlns:ns3="47b1ed30-283c-4f99-9519-935da07f59a1" targetNamespace="http://schemas.microsoft.com/office/2006/metadata/properties" ma:root="true" ma:fieldsID="bf6441b89f74640dec599e995a1210cc" ns2:_="" ns3:_="">
    <xsd:import namespace="876372d7-2542-4065-ad3b-22612840f7b4"/>
    <xsd:import namespace="47b1ed30-283c-4f99-9519-935da07f59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72d7-2542-4065-ad3b-22612840f7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4304401-0739-43d9-9756-6f1eda3a30aa}" ma:internalName="TaxCatchAll" ma:showField="CatchAllData" ma:web="876372d7-2542-4065-ad3b-22612840f7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b1ed30-283c-4f99-9519-935da07f59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47b1ed30-283c-4f99-9519-935da07f59a1"/>
    <ds:schemaRef ds:uri="876372d7-2542-4065-ad3b-22612840f7b4"/>
  </ds:schemaRefs>
</ds:datastoreItem>
</file>

<file path=customXml/itemProps2.xml><?xml version="1.0" encoding="utf-8"?>
<ds:datastoreItem xmlns:ds="http://schemas.openxmlformats.org/officeDocument/2006/customXml" ds:itemID="{6E809E73-7B8F-404D-BBCD-2C8E6C5799A9}">
  <ds:schemaRefs>
    <ds:schemaRef ds:uri="http://schemas.openxmlformats.org/officeDocument/2006/bibliography"/>
  </ds:schemaRefs>
</ds:datastoreItem>
</file>

<file path=customXml/itemProps3.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4.xml><?xml version="1.0" encoding="utf-8"?>
<ds:datastoreItem xmlns:ds="http://schemas.openxmlformats.org/officeDocument/2006/customXml" ds:itemID="{683453A6-BC8A-40FD-BB88-03A2A9A25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372d7-2542-4065-ad3b-22612840f7b4"/>
    <ds:schemaRef ds:uri="47b1ed30-283c-4f99-9519-935da07f5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Dorothy Monza</dc:creator>
  <keywords/>
  <dc:description/>
  <lastModifiedBy>Katie Fleischer</lastModifiedBy>
  <revision>94</revision>
  <lastPrinted>2026-02-23T16:16:00.0000000Z</lastPrinted>
  <dcterms:created xsi:type="dcterms:W3CDTF">2025-02-01T01:14:00.0000000Z</dcterms:created>
  <dcterms:modified xsi:type="dcterms:W3CDTF">2026-03-04T22:21:05.2297052Z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0x010100E73B86C6AC81184AA3BD83FEEB7F7549</vt:lpwstr>
  </property>
  <property fmtid="{D5CDD505-2E9C-101B-9397-08002B2CF9AE}" pid="3" name="Order">
    <vt:r8>3044300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