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D5802" w14:textId="6ADFDBB9" w:rsidR="00826CB8" w:rsidRPr="00AA01FB" w:rsidRDefault="002557C1" w:rsidP="003A7996">
      <w:pPr>
        <w:spacing w:after="120" w:line="276" w:lineRule="auto"/>
        <w:rPr>
          <w:rFonts w:ascii="Open Sans" w:hAnsi="Open Sans" w:cs="Open Sans"/>
          <w:b/>
          <w:color w:val="D50032" w:themeColor="accent1"/>
          <w:sz w:val="36"/>
          <w:szCs w:val="36"/>
        </w:rPr>
      </w:pPr>
      <w:r w:rsidRPr="00056A66">
        <w:rPr>
          <w:rFonts w:ascii="Open Sans" w:hAnsi="Open Sans" w:cs="Open Sans"/>
          <w:b/>
          <w:color w:val="D50032" w:themeColor="accent1"/>
          <w:sz w:val="36"/>
          <w:szCs w:val="36"/>
        </w:rPr>
        <w:t>Strengthen Families and Reduce Poverty</w:t>
      </w:r>
      <w:r>
        <w:rPr>
          <w:rFonts w:ascii="Open Sans" w:hAnsi="Open Sans" w:cs="Open Sans"/>
          <w:b/>
          <w:color w:val="D50032" w:themeColor="accent1"/>
          <w:sz w:val="36"/>
          <w:szCs w:val="36"/>
        </w:rPr>
        <w:t xml:space="preserve"> </w:t>
      </w:r>
      <w:r w:rsidR="00AC1389">
        <w:rPr>
          <w:rFonts w:ascii="Open Sans" w:hAnsi="Open Sans" w:cs="Open Sans"/>
          <w:b/>
          <w:color w:val="D50032" w:themeColor="accent1"/>
          <w:sz w:val="36"/>
          <w:szCs w:val="36"/>
        </w:rPr>
        <w:t>with Bipartisan Support for th</w:t>
      </w:r>
      <w:r w:rsidR="009F4F01">
        <w:rPr>
          <w:rFonts w:ascii="Open Sans" w:hAnsi="Open Sans" w:cs="Open Sans"/>
          <w:b/>
          <w:color w:val="D50032" w:themeColor="accent1"/>
          <w:sz w:val="36"/>
          <w:szCs w:val="36"/>
        </w:rPr>
        <w:t xml:space="preserve">e </w:t>
      </w:r>
      <w:r w:rsidR="00C314EA" w:rsidRPr="00AA01FB">
        <w:rPr>
          <w:rFonts w:ascii="Open Sans" w:hAnsi="Open Sans" w:cs="Open Sans"/>
          <w:b/>
          <w:color w:val="D50032" w:themeColor="accent1"/>
          <w:sz w:val="36"/>
          <w:szCs w:val="36"/>
        </w:rPr>
        <w:t>Child Tax Credit</w:t>
      </w:r>
      <w:r w:rsidR="009F4F01">
        <w:rPr>
          <w:rFonts w:ascii="Open Sans" w:hAnsi="Open Sans" w:cs="Open Sans"/>
          <w:bCs/>
          <w:i/>
          <w:iCs/>
          <w:color w:val="D50032" w:themeColor="accent1"/>
          <w:sz w:val="36"/>
          <w:szCs w:val="36"/>
        </w:rPr>
        <w:t xml:space="preserve"> </w:t>
      </w:r>
    </w:p>
    <w:p w14:paraId="212FBEF0" w14:textId="77777777" w:rsidR="00240630" w:rsidRPr="00B76390" w:rsidRDefault="00240630" w:rsidP="00B76390">
      <w:pPr>
        <w:pBdr>
          <w:top w:val="single" w:sz="12" w:space="1" w:color="D50032"/>
          <w:left w:val="single" w:sz="12" w:space="4" w:color="D50032"/>
          <w:bottom w:val="single" w:sz="12" w:space="1" w:color="D50032"/>
          <w:right w:val="single" w:sz="12" w:space="4" w:color="D50032"/>
        </w:pBdr>
        <w:shd w:val="clear" w:color="auto" w:fill="D50032"/>
        <w:spacing w:before="120" w:after="120"/>
        <w:rPr>
          <w:rFonts w:asciiTheme="majorHAnsi" w:hAnsiTheme="majorHAnsi" w:cstheme="majorHAnsi"/>
          <w:b/>
          <w:bCs/>
          <w:color w:val="FFFFFF" w:themeColor="background1"/>
          <w:sz w:val="2"/>
          <w:szCs w:val="2"/>
        </w:rPr>
      </w:pPr>
    </w:p>
    <w:p w14:paraId="54324B58" w14:textId="41BC0ED4" w:rsidR="00CE63E7" w:rsidRPr="0012111B" w:rsidRDefault="007960A9" w:rsidP="00B04DC4">
      <w:pPr>
        <w:pBdr>
          <w:top w:val="single" w:sz="12" w:space="1" w:color="D50032"/>
          <w:left w:val="single" w:sz="12" w:space="4" w:color="D50032"/>
          <w:bottom w:val="single" w:sz="12" w:space="1" w:color="D50032"/>
          <w:right w:val="single" w:sz="12" w:space="4" w:color="D50032"/>
        </w:pBdr>
        <w:shd w:val="clear" w:color="auto" w:fill="D50032"/>
        <w:spacing w:after="120" w:line="276" w:lineRule="auto"/>
        <w:rPr>
          <w:rFonts w:ascii="Open Sans" w:hAnsi="Open Sans" w:cs="Open Sans"/>
          <w:b/>
          <w:bCs/>
          <w:color w:val="FFFFFF" w:themeColor="background1"/>
          <w:sz w:val="22"/>
          <w:szCs w:val="22"/>
        </w:rPr>
      </w:pPr>
      <w:r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>U</w:t>
      </w:r>
      <w:r w:rsidR="005E5537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>rge colleagues and leadership to</w:t>
      </w:r>
      <w:r w:rsidR="008A5048" w:rsidRPr="008A5048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 </w:t>
      </w:r>
      <w:r w:rsidR="00497936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permanently </w:t>
      </w:r>
      <w:r w:rsidR="008A5048" w:rsidRPr="008A5048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expand </w:t>
      </w:r>
      <w:r w:rsidR="00497936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 xml:space="preserve">the </w:t>
      </w:r>
      <w:r w:rsidR="008A5048" w:rsidRPr="008A5048">
        <w:rPr>
          <w:rFonts w:ascii="Open Sans" w:hAnsi="Open Sans" w:cs="Open Sans"/>
          <w:b/>
          <w:bCs/>
          <w:color w:val="FFFFFF" w:themeColor="background1"/>
          <w:sz w:val="22"/>
          <w:szCs w:val="22"/>
        </w:rPr>
        <w:t>Child Tax Credit (CTC) with full refundability for all low-income families.</w:t>
      </w:r>
    </w:p>
    <w:p w14:paraId="64FE797E" w14:textId="03BED8F6" w:rsidR="00240630" w:rsidRPr="0012111B" w:rsidRDefault="00240630" w:rsidP="00B76390">
      <w:pPr>
        <w:pBdr>
          <w:top w:val="single" w:sz="12" w:space="1" w:color="D50032"/>
          <w:left w:val="single" w:sz="12" w:space="4" w:color="D50032"/>
          <w:bottom w:val="single" w:sz="12" w:space="1" w:color="D50032"/>
          <w:right w:val="single" w:sz="12" w:space="4" w:color="D50032"/>
        </w:pBdr>
        <w:shd w:val="clear" w:color="auto" w:fill="D50032"/>
        <w:spacing w:before="120" w:after="120"/>
        <w:rPr>
          <w:rFonts w:ascii="Open Sans" w:hAnsi="Open Sans" w:cs="Open Sans"/>
          <w:b/>
          <w:bCs/>
          <w:color w:val="FFFFFF" w:themeColor="background1"/>
          <w:sz w:val="2"/>
          <w:szCs w:val="2"/>
        </w:rPr>
      </w:pPr>
    </w:p>
    <w:p w14:paraId="3ABB6B3B" w14:textId="570E9107" w:rsidR="00E24CD1" w:rsidRDefault="00873D4D" w:rsidP="00056A66">
      <w:pPr>
        <w:spacing w:after="120" w:line="276" w:lineRule="auto"/>
        <w:rPr>
          <w:rFonts w:ascii="Open Sans" w:hAnsi="Open Sans" w:cs="Open Sans"/>
          <w:sz w:val="22"/>
          <w:szCs w:val="22"/>
        </w:rPr>
      </w:pPr>
      <w:r w:rsidRPr="00561493">
        <w:rPr>
          <w:rFonts w:ascii="Open Sans" w:eastAsia="Times New Roman" w:hAnsi="Open Sans" w:cs="Open Sans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6B2567" wp14:editId="33083B89">
            <wp:simplePos x="0" y="0"/>
            <wp:positionH relativeFrom="margin">
              <wp:posOffset>0</wp:posOffset>
            </wp:positionH>
            <wp:positionV relativeFrom="paragraph">
              <wp:posOffset>513715</wp:posOffset>
            </wp:positionV>
            <wp:extent cx="3162935" cy="2489200"/>
            <wp:effectExtent l="0" t="0" r="0" b="6350"/>
            <wp:wrapSquare wrapText="bothSides"/>
            <wp:docPr id="11" name="Picture 11" descr="CBPP analysis of U.S. Census Bureau’s Household Pulse Survey collected between July and September 2021 focuses specifically on how lower-income families used the CTC -- families used the CTC for housing, food, clothing, and utilities — and education.&#10;https://www.cbpp.org/blog/rising-food-and-energy-prices-underscore-the-urgency-of-acting-on-the-child-tax-credit ">
              <a:extLst xmlns:a="http://schemas.openxmlformats.org/drawingml/2006/main">
                <a:ext uri="{FF2B5EF4-FFF2-40B4-BE49-F238E27FC236}">
                  <a16:creationId xmlns:a16="http://schemas.microsoft.com/office/drawing/2014/main" id="{236FBBB6-FBFE-549A-A7FF-D790D455AC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CBPP analysis of U.S. Census Bureau’s Household Pulse Survey collected between July and September 2021 focuses specifically on how lower-income families used the CTC -- families used the CTC for housing, food, clothing, and utilities — and education.&#10;https://www.cbpp.org/blog/rising-food-and-energy-prices-underscore-the-urgency-of-acting-on-the-child-tax-credit ">
                      <a:extLst>
                        <a:ext uri="{FF2B5EF4-FFF2-40B4-BE49-F238E27FC236}">
                          <a16:creationId xmlns:a16="http://schemas.microsoft.com/office/drawing/2014/main" id="{236FBBB6-FBFE-549A-A7FF-D790D455AC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1"/>
                    <a:srcRect l="220" t="8935" r="220" b="23574"/>
                    <a:stretch/>
                  </pic:blipFill>
                  <pic:spPr>
                    <a:xfrm>
                      <a:off x="0" y="0"/>
                      <a:ext cx="316293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1FB">
        <w:rPr>
          <w:rFonts w:ascii="Open Sans" w:hAnsi="Open Sans" w:cs="Open Sans"/>
          <w:sz w:val="22"/>
          <w:szCs w:val="22"/>
        </w:rPr>
        <w:t>Last year</w:t>
      </w:r>
      <w:r w:rsidR="009F4F01">
        <w:rPr>
          <w:rFonts w:ascii="Open Sans" w:hAnsi="Open Sans" w:cs="Open Sans"/>
          <w:sz w:val="22"/>
          <w:szCs w:val="22"/>
        </w:rPr>
        <w:t xml:space="preserve">, </w:t>
      </w:r>
      <w:r w:rsidR="009F4F01">
        <w:rPr>
          <w:rFonts w:ascii="Open Sans" w:eastAsia="Times New Roman" w:hAnsi="Open Sans" w:cs="Open Sans"/>
          <w:noProof/>
          <w:sz w:val="22"/>
          <w:szCs w:val="22"/>
        </w:rPr>
        <w:t>m</w:t>
      </w:r>
      <w:r w:rsidR="006B0D2C" w:rsidRPr="00F6720F">
        <w:rPr>
          <w:rFonts w:ascii="Open Sans" w:eastAsia="Times New Roman" w:hAnsi="Open Sans" w:cs="Open Sans"/>
          <w:noProof/>
          <w:sz w:val="22"/>
          <w:szCs w:val="22"/>
        </w:rPr>
        <w:t>onthly</w:t>
      </w:r>
      <w:r w:rsidR="00E24CD1" w:rsidRPr="00F6720F">
        <w:rPr>
          <w:rFonts w:ascii="Open Sans" w:hAnsi="Open Sans" w:cs="Open Sans"/>
          <w:sz w:val="22"/>
          <w:szCs w:val="22"/>
        </w:rPr>
        <w:t xml:space="preserve"> </w:t>
      </w:r>
      <w:r w:rsidR="00F46A6C" w:rsidRPr="00F6720F">
        <w:rPr>
          <w:rFonts w:ascii="Open Sans" w:hAnsi="Open Sans" w:cs="Open Sans"/>
          <w:sz w:val="22"/>
          <w:szCs w:val="22"/>
        </w:rPr>
        <w:t>Child Tax Credit</w:t>
      </w:r>
      <w:r w:rsidR="00E24CD1" w:rsidRPr="00F6720F">
        <w:rPr>
          <w:rFonts w:ascii="Open Sans" w:hAnsi="Open Sans" w:cs="Open Sans"/>
          <w:sz w:val="22"/>
          <w:szCs w:val="22"/>
        </w:rPr>
        <w:t xml:space="preserve"> </w:t>
      </w:r>
      <w:r w:rsidR="00F46A6C" w:rsidRPr="00F6720F">
        <w:rPr>
          <w:rFonts w:ascii="Open Sans" w:hAnsi="Open Sans" w:cs="Open Sans"/>
          <w:sz w:val="22"/>
          <w:szCs w:val="22"/>
        </w:rPr>
        <w:t>(</w:t>
      </w:r>
      <w:r w:rsidR="00E24CD1" w:rsidRPr="00F6720F">
        <w:rPr>
          <w:rFonts w:ascii="Open Sans" w:hAnsi="Open Sans" w:cs="Open Sans"/>
          <w:sz w:val="22"/>
          <w:szCs w:val="22"/>
        </w:rPr>
        <w:t>CTC</w:t>
      </w:r>
      <w:r w:rsidR="00F46A6C" w:rsidRPr="00F6720F">
        <w:rPr>
          <w:rFonts w:ascii="Open Sans" w:hAnsi="Open Sans" w:cs="Open Sans"/>
          <w:sz w:val="22"/>
          <w:szCs w:val="22"/>
        </w:rPr>
        <w:t>)</w:t>
      </w:r>
      <w:r w:rsidR="00E24CD1" w:rsidRPr="00F6720F">
        <w:rPr>
          <w:rFonts w:ascii="Open Sans" w:hAnsi="Open Sans" w:cs="Open Sans"/>
          <w:sz w:val="22"/>
          <w:szCs w:val="22"/>
        </w:rPr>
        <w:t xml:space="preserve"> payments </w:t>
      </w:r>
      <w:hyperlink r:id="rId12" w:history="1">
        <w:r w:rsidR="00E24CD1" w:rsidRPr="009F4F01">
          <w:rPr>
            <w:rStyle w:val="Hyperlink"/>
            <w:rFonts w:ascii="Open Sans" w:hAnsi="Open Sans" w:cs="Open Sans"/>
            <w:sz w:val="22"/>
            <w:szCs w:val="22"/>
          </w:rPr>
          <w:t>helped families put food on the table, pay rent, and keep the lights on</w:t>
        </w:r>
      </w:hyperlink>
      <w:r w:rsidR="005E6AC3">
        <w:rPr>
          <w:rFonts w:ascii="Open Sans" w:hAnsi="Open Sans" w:cs="Open Sans"/>
          <w:sz w:val="22"/>
          <w:szCs w:val="22"/>
        </w:rPr>
        <w:t xml:space="preserve"> </w:t>
      </w:r>
      <w:r w:rsidR="00972508">
        <w:rPr>
          <w:rFonts w:ascii="Open Sans" w:hAnsi="Open Sans" w:cs="Open Sans"/>
          <w:sz w:val="22"/>
          <w:szCs w:val="22"/>
        </w:rPr>
        <w:t>(visual)</w:t>
      </w:r>
      <w:r w:rsidR="00E24CD1" w:rsidRPr="00F6720F">
        <w:rPr>
          <w:rFonts w:ascii="Open Sans" w:hAnsi="Open Sans" w:cs="Open Sans"/>
          <w:sz w:val="22"/>
          <w:szCs w:val="22"/>
        </w:rPr>
        <w:t xml:space="preserve">. </w:t>
      </w:r>
      <w:r w:rsidR="00472409">
        <w:rPr>
          <w:rFonts w:ascii="Open Sans" w:hAnsi="Open Sans" w:cs="Open Sans"/>
          <w:sz w:val="22"/>
          <w:szCs w:val="22"/>
        </w:rPr>
        <w:t>The CTC payments meant</w:t>
      </w:r>
      <w:r w:rsidR="009F4F01">
        <w:rPr>
          <w:rFonts w:ascii="Open Sans" w:hAnsi="Open Sans" w:cs="Open Sans"/>
          <w:sz w:val="22"/>
          <w:szCs w:val="22"/>
        </w:rPr>
        <w:t xml:space="preserve"> f</w:t>
      </w:r>
      <w:r w:rsidR="009F4F01" w:rsidRPr="00B835D6">
        <w:rPr>
          <w:rFonts w:ascii="Open Sans" w:hAnsi="Open Sans" w:cs="Open Sans"/>
          <w:sz w:val="22"/>
          <w:szCs w:val="22"/>
        </w:rPr>
        <w:t>ood insecurity and other material hardship</w:t>
      </w:r>
      <w:r w:rsidR="009F4F01">
        <w:rPr>
          <w:rFonts w:ascii="Open Sans" w:hAnsi="Open Sans" w:cs="Open Sans"/>
          <w:sz w:val="22"/>
          <w:szCs w:val="22"/>
        </w:rPr>
        <w:t>s</w:t>
      </w:r>
      <w:r w:rsidR="009F4F01" w:rsidRPr="00B835D6">
        <w:rPr>
          <w:rFonts w:ascii="Open Sans" w:hAnsi="Open Sans" w:cs="Open Sans"/>
          <w:sz w:val="22"/>
          <w:szCs w:val="22"/>
        </w:rPr>
        <w:t xml:space="preserve"> </w:t>
      </w:r>
      <w:r w:rsidR="009F4F01">
        <w:rPr>
          <w:rFonts w:ascii="Open Sans" w:hAnsi="Open Sans" w:cs="Open Sans"/>
          <w:sz w:val="22"/>
          <w:szCs w:val="22"/>
        </w:rPr>
        <w:t>plummet</w:t>
      </w:r>
      <w:r w:rsidR="00472409">
        <w:rPr>
          <w:rFonts w:ascii="Open Sans" w:hAnsi="Open Sans" w:cs="Open Sans"/>
          <w:sz w:val="22"/>
          <w:szCs w:val="22"/>
        </w:rPr>
        <w:t>ed</w:t>
      </w:r>
      <w:r w:rsidR="00497936">
        <w:rPr>
          <w:rFonts w:ascii="Open Sans" w:hAnsi="Open Sans" w:cs="Open Sans"/>
          <w:sz w:val="22"/>
          <w:szCs w:val="22"/>
        </w:rPr>
        <w:t>,</w:t>
      </w:r>
      <w:r w:rsidR="009F4F01">
        <w:rPr>
          <w:rFonts w:ascii="Open Sans" w:hAnsi="Open Sans" w:cs="Open Sans"/>
          <w:sz w:val="22"/>
          <w:szCs w:val="22"/>
        </w:rPr>
        <w:t xml:space="preserve"> according to data from </w:t>
      </w:r>
      <w:r w:rsidR="009F4F01" w:rsidRPr="00B835D6">
        <w:rPr>
          <w:rFonts w:ascii="Open Sans" w:hAnsi="Open Sans" w:cs="Open Sans"/>
          <w:sz w:val="22"/>
          <w:szCs w:val="22"/>
        </w:rPr>
        <w:t xml:space="preserve">the </w:t>
      </w:r>
      <w:hyperlink r:id="rId13" w:history="1">
        <w:r w:rsidR="009F4F01"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Census</w:t>
        </w:r>
      </w:hyperlink>
      <w:r w:rsidR="009F4F01" w:rsidRPr="00B835D6">
        <w:rPr>
          <w:rFonts w:ascii="Open Sans" w:hAnsi="Open Sans" w:cs="Open Sans"/>
          <w:sz w:val="22"/>
          <w:szCs w:val="22"/>
        </w:rPr>
        <w:t xml:space="preserve">, </w:t>
      </w:r>
      <w:hyperlink r:id="rId14" w:history="1">
        <w:r w:rsidR="009F4F01"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Columbia University,</w:t>
        </w:r>
      </w:hyperlink>
      <w:r w:rsidR="009F4F01" w:rsidRPr="00B835D6">
        <w:rPr>
          <w:rFonts w:ascii="Open Sans" w:hAnsi="Open Sans" w:cs="Open Sans"/>
          <w:sz w:val="22"/>
          <w:szCs w:val="22"/>
        </w:rPr>
        <w:t xml:space="preserve"> and </w:t>
      </w:r>
      <w:hyperlink r:id="rId15" w:history="1">
        <w:r w:rsidR="009F4F01" w:rsidRPr="00B835D6">
          <w:rPr>
            <w:rStyle w:val="Hyperlink"/>
            <w:rFonts w:ascii="Open Sans" w:eastAsia="Times New Roman" w:hAnsi="Open Sans" w:cs="Open Sans"/>
            <w:sz w:val="22"/>
            <w:szCs w:val="22"/>
          </w:rPr>
          <w:t>JAMA</w:t>
        </w:r>
      </w:hyperlink>
      <w:r w:rsidR="00497936">
        <w:rPr>
          <w:rFonts w:ascii="Open Sans" w:hAnsi="Open Sans" w:cs="Open Sans"/>
          <w:sz w:val="22"/>
          <w:szCs w:val="22"/>
        </w:rPr>
        <w:t>, a</w:t>
      </w:r>
      <w:r w:rsidR="009F4F01">
        <w:rPr>
          <w:rFonts w:ascii="Open Sans" w:hAnsi="Open Sans" w:cs="Open Sans"/>
          <w:sz w:val="22"/>
          <w:szCs w:val="22"/>
        </w:rPr>
        <w:t xml:space="preserve">ll while lifting </w:t>
      </w:r>
      <w:hyperlink r:id="rId16" w:history="1">
        <w:r w:rsidR="00E24CD1" w:rsidRPr="00F6720F">
          <w:rPr>
            <w:rStyle w:val="Hyperlink"/>
            <w:rFonts w:ascii="Open Sans" w:hAnsi="Open Sans" w:cs="Open Sans"/>
            <w:sz w:val="22"/>
            <w:szCs w:val="22"/>
          </w:rPr>
          <w:t>3-4 million children out of poverty</w:t>
        </w:r>
      </w:hyperlink>
      <w:r w:rsidR="00CD4893" w:rsidRPr="00F6720F">
        <w:rPr>
          <w:rFonts w:ascii="Open Sans" w:hAnsi="Open Sans" w:cs="Open Sans"/>
          <w:sz w:val="22"/>
          <w:szCs w:val="22"/>
        </w:rPr>
        <w:t xml:space="preserve"> each month</w:t>
      </w:r>
      <w:r w:rsidR="00E24CD1" w:rsidRPr="00F6720F">
        <w:rPr>
          <w:rFonts w:ascii="Open Sans" w:hAnsi="Open Sans" w:cs="Open Sans"/>
          <w:sz w:val="22"/>
          <w:szCs w:val="22"/>
        </w:rPr>
        <w:t>.</w:t>
      </w:r>
      <w:r w:rsidR="00145E44">
        <w:rPr>
          <w:rFonts w:ascii="Open Sans" w:hAnsi="Open Sans" w:cs="Open Sans"/>
          <w:sz w:val="22"/>
          <w:szCs w:val="22"/>
        </w:rPr>
        <w:t xml:space="preserve"> </w:t>
      </w:r>
      <w:r w:rsidR="0071453F">
        <w:rPr>
          <w:rFonts w:ascii="Open Sans" w:eastAsia="Open Sans" w:hAnsi="Open Sans" w:cs="Open Sans"/>
          <w:color w:val="000000" w:themeColor="text1"/>
          <w:sz w:val="22"/>
          <w:szCs w:val="22"/>
        </w:rPr>
        <w:t>Columbia researchers found that there was a</w:t>
      </w:r>
      <w:r w:rsidR="0071453F" w:rsidRPr="56588D78">
        <w:rPr>
          <w:rFonts w:ascii="Open Sans" w:eastAsia="Open Sans" w:hAnsi="Open Sans" w:cs="Open Sans"/>
          <w:color w:val="000000" w:themeColor="text1"/>
          <w:sz w:val="22"/>
          <w:szCs w:val="22"/>
        </w:rPr>
        <w:t xml:space="preserve"> </w:t>
      </w:r>
      <w:hyperlink r:id="rId17">
        <w:r w:rsidR="0071453F" w:rsidRPr="007E7DCB">
          <w:rPr>
            <w:rStyle w:val="Hyperlink"/>
            <w:rFonts w:ascii="Open Sans" w:eastAsia="Open Sans" w:hAnsi="Open Sans" w:cs="Open Sans"/>
            <w:sz w:val="22"/>
            <w:szCs w:val="22"/>
          </w:rPr>
          <w:t>4</w:t>
        </w:r>
        <w:r w:rsidR="0071453F" w:rsidRPr="007E7DCB">
          <w:rPr>
            <w:rStyle w:val="Hyperlink"/>
            <w:rFonts w:ascii="Open Sans" w:hAnsi="Open Sans" w:cs="Open Sans"/>
            <w:sz w:val="22"/>
            <w:szCs w:val="22"/>
          </w:rPr>
          <w:t>1 percent increase in child poverty</w:t>
        </w:r>
      </w:hyperlink>
      <w:r w:rsidR="005B44F6" w:rsidRPr="00B835D6">
        <w:rPr>
          <w:rFonts w:ascii="Open Sans" w:hAnsi="Open Sans" w:cs="Open Sans"/>
          <w:sz w:val="22"/>
          <w:szCs w:val="22"/>
        </w:rPr>
        <w:t xml:space="preserve"> when</w:t>
      </w:r>
      <w:r w:rsidR="00B55602" w:rsidRPr="00B55602">
        <w:rPr>
          <w:rFonts w:ascii="Open Sans" w:hAnsi="Open Sans" w:cs="Open Sans"/>
          <w:sz w:val="22"/>
          <w:szCs w:val="22"/>
        </w:rPr>
        <w:t xml:space="preserve"> monthly CTC payments stopped in January</w:t>
      </w:r>
      <w:r w:rsidR="00B55602">
        <w:rPr>
          <w:rFonts w:ascii="Open Sans" w:hAnsi="Open Sans" w:cs="Open Sans"/>
          <w:sz w:val="22"/>
          <w:szCs w:val="22"/>
        </w:rPr>
        <w:t>.</w:t>
      </w:r>
    </w:p>
    <w:p w14:paraId="33EB38A5" w14:textId="23A450FD" w:rsidR="00497936" w:rsidRDefault="00A82EC8" w:rsidP="00497936">
      <w:pPr>
        <w:pStyle w:val="NormalWeb"/>
        <w:spacing w:after="120" w:line="276" w:lineRule="auto"/>
        <w:rPr>
          <w:rFonts w:ascii="Open Sans" w:hAnsi="Open Sans" w:cs="Open Sans"/>
          <w:sz w:val="22"/>
          <w:szCs w:val="22"/>
        </w:rPr>
      </w:pPr>
      <w:r w:rsidRPr="00CA6163">
        <w:rPr>
          <w:rFonts w:ascii="Open Sans" w:hAnsi="Open Sans" w:cs="Open San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97D377B" wp14:editId="416D6CEC">
                <wp:simplePos x="0" y="0"/>
                <wp:positionH relativeFrom="margin">
                  <wp:posOffset>-95250</wp:posOffset>
                </wp:positionH>
                <wp:positionV relativeFrom="paragraph">
                  <wp:posOffset>698500</wp:posOffset>
                </wp:positionV>
                <wp:extent cx="3251200" cy="387350"/>
                <wp:effectExtent l="0" t="0" r="0" b="0"/>
                <wp:wrapSquare wrapText="bothSides"/>
                <wp:docPr id="1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200" cy="3873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DE0B64F" w14:textId="77777777" w:rsidR="00A82EC8" w:rsidRPr="00CA6163" w:rsidRDefault="00A82EC8" w:rsidP="00A82EC8">
                            <w:pPr>
                              <w:rPr>
                                <w:rFonts w:ascii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CA6163">
                              <w:rPr>
                                <w:rFonts w:ascii="Open Sans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Source: CBPP analysis of U.S. </w:t>
                            </w:r>
                            <w:r w:rsidRPr="00CA6163">
                              <w:rPr>
                                <w:rFonts w:ascii="Open Sans" w:eastAsia="Cambria" w:hAnsi="Open Sans" w:cs="Open Sans"/>
                                <w:i/>
                                <w:i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Census Bureau’s Household Pulse Survey collected between July and September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pic="http://schemas.openxmlformats.org/drawingml/2006/picture" xmlns:a16="http://schemas.microsoft.com/office/drawing/2014/main" xmlns:a="http://schemas.openxmlformats.org/drawingml/2006/main">
            <w:pict>
              <v:shapetype id="_x0000_t202" coordsize="21600,21600" o:spt="202" path="m,l,21600r21600,l21600,xe" w14:anchorId="097D377B">
                <v:stroke joinstyle="miter"/>
                <v:path gradientshapeok="t" o:connecttype="rect"/>
              </v:shapetype>
              <v:shape id="TextBox 11" style="position:absolute;margin-left:-7.5pt;margin-top:55pt;width:256pt;height:30.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">
                <v:textbox>
                  <w:txbxContent>
                    <w:p w:rsidRPr="00CA6163" w:rsidR="00A82EC8" w:rsidP="00A82EC8" w:rsidRDefault="00A82EC8" w14:paraId="5DE0B64F" w14:textId="77777777">
                      <w:pPr>
                        <w:rPr>
                          <w:rFonts w:ascii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CA6163">
                        <w:rPr>
                          <w:rFonts w:ascii="Open Sans" w:hAnsi="Open Sans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Source: CBPP analysis of U.S. </w:t>
                      </w:r>
                      <w:r w:rsidRPr="00CA6163">
                        <w:rPr>
                          <w:rFonts w:ascii="Open Sans" w:hAnsi="Open Sans" w:eastAsia="Cambria" w:cs="Open Sans"/>
                          <w:i/>
                          <w:iCs/>
                          <w:color w:val="000000" w:themeColor="text1"/>
                          <w:kern w:val="24"/>
                          <w:sz w:val="16"/>
                          <w:szCs w:val="16"/>
                        </w:rPr>
                        <w:t>Census Bureau’s Household Pulse Survey collected between July and September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78C">
        <w:rPr>
          <w:rFonts w:ascii="Open Sans" w:hAnsi="Open Sans" w:cs="Open Sans"/>
          <w:sz w:val="22"/>
          <w:szCs w:val="22"/>
        </w:rPr>
        <w:t>S</w:t>
      </w:r>
      <w:r w:rsidR="00497936">
        <w:rPr>
          <w:rFonts w:ascii="Open Sans" w:hAnsi="Open Sans" w:cs="Open Sans"/>
          <w:sz w:val="22"/>
          <w:szCs w:val="22"/>
        </w:rPr>
        <w:t xml:space="preserve">tudies on the CTC show that it is one of the most effective and efficient ways to strengthen families and reduce child poverty. The CTC helps families </w:t>
      </w:r>
      <w:hyperlink r:id="rId18" w:history="1">
        <w:r w:rsidR="00497936" w:rsidRPr="00497936">
          <w:rPr>
            <w:rStyle w:val="Hyperlink"/>
            <w:rFonts w:ascii="Open Sans" w:hAnsi="Open Sans" w:cs="Open Sans"/>
            <w:sz w:val="22"/>
            <w:szCs w:val="22"/>
          </w:rPr>
          <w:t>obtain and maintain employment</w:t>
        </w:r>
      </w:hyperlink>
      <w:r w:rsidR="00497936">
        <w:rPr>
          <w:rFonts w:ascii="Open Sans" w:hAnsi="Open Sans" w:cs="Open Sans"/>
          <w:sz w:val="22"/>
          <w:szCs w:val="22"/>
        </w:rPr>
        <w:t xml:space="preserve">, </w:t>
      </w:r>
      <w:r w:rsidR="009E160E">
        <w:rPr>
          <w:rFonts w:ascii="Open Sans" w:hAnsi="Open Sans" w:cs="Open Sans"/>
          <w:sz w:val="22"/>
          <w:szCs w:val="22"/>
        </w:rPr>
        <w:t xml:space="preserve">and in some cases </w:t>
      </w:r>
      <w:r w:rsidR="00630473">
        <w:rPr>
          <w:rFonts w:ascii="Open Sans" w:hAnsi="Open Sans" w:cs="Open Sans"/>
          <w:sz w:val="22"/>
          <w:szCs w:val="22"/>
        </w:rPr>
        <w:t>the CTC</w:t>
      </w:r>
      <w:r w:rsidR="009E160E">
        <w:rPr>
          <w:rFonts w:ascii="Open Sans" w:hAnsi="Open Sans" w:cs="Open Sans"/>
          <w:sz w:val="22"/>
          <w:szCs w:val="22"/>
        </w:rPr>
        <w:t xml:space="preserve"> supports</w:t>
      </w:r>
      <w:r w:rsidR="005B2CDE">
        <w:rPr>
          <w:rFonts w:ascii="Open Sans" w:hAnsi="Open Sans" w:cs="Open Sans"/>
          <w:sz w:val="22"/>
          <w:szCs w:val="22"/>
        </w:rPr>
        <w:t xml:space="preserve"> child care costs</w:t>
      </w:r>
      <w:r w:rsidR="005B2CDE" w:rsidDel="005B2CDE">
        <w:rPr>
          <w:rFonts w:ascii="Open Sans" w:hAnsi="Open Sans" w:cs="Open Sans"/>
          <w:sz w:val="22"/>
          <w:szCs w:val="22"/>
        </w:rPr>
        <w:t xml:space="preserve"> </w:t>
      </w:r>
      <w:r w:rsidR="005B2CDE">
        <w:rPr>
          <w:rFonts w:ascii="Open Sans" w:hAnsi="Open Sans" w:cs="Open Sans"/>
          <w:sz w:val="22"/>
          <w:szCs w:val="22"/>
        </w:rPr>
        <w:t>or</w:t>
      </w:r>
      <w:r w:rsidR="005B2CDE" w:rsidDel="005B2CDE">
        <w:rPr>
          <w:rFonts w:ascii="Open Sans" w:hAnsi="Open Sans" w:cs="Open Sans"/>
          <w:sz w:val="22"/>
          <w:szCs w:val="22"/>
        </w:rPr>
        <w:t xml:space="preserve"> </w:t>
      </w:r>
      <w:r w:rsidR="004C5802">
        <w:rPr>
          <w:rFonts w:ascii="Open Sans" w:hAnsi="Open Sans" w:cs="Open Sans"/>
          <w:sz w:val="22"/>
          <w:szCs w:val="22"/>
        </w:rPr>
        <w:t xml:space="preserve">a family’s </w:t>
      </w:r>
      <w:r w:rsidR="00497936">
        <w:rPr>
          <w:rFonts w:ascii="Open Sans" w:hAnsi="Open Sans" w:cs="Open Sans"/>
          <w:sz w:val="22"/>
          <w:szCs w:val="22"/>
        </w:rPr>
        <w:t xml:space="preserve">decision to </w:t>
      </w:r>
      <w:r w:rsidR="00C0341A">
        <w:rPr>
          <w:rFonts w:ascii="Open Sans" w:hAnsi="Open Sans" w:cs="Open Sans"/>
          <w:sz w:val="22"/>
          <w:szCs w:val="22"/>
        </w:rPr>
        <w:t xml:space="preserve">focus on </w:t>
      </w:r>
      <w:r w:rsidR="00023856">
        <w:rPr>
          <w:rFonts w:ascii="Open Sans" w:hAnsi="Open Sans" w:cs="Open Sans"/>
          <w:sz w:val="22"/>
          <w:szCs w:val="22"/>
        </w:rPr>
        <w:t>caregiving</w:t>
      </w:r>
      <w:r w:rsidR="005B5D36">
        <w:rPr>
          <w:rFonts w:ascii="Open Sans" w:hAnsi="Open Sans" w:cs="Open Sans"/>
          <w:sz w:val="22"/>
          <w:szCs w:val="22"/>
        </w:rPr>
        <w:t xml:space="preserve"> </w:t>
      </w:r>
      <w:r w:rsidR="00497936">
        <w:rPr>
          <w:rFonts w:ascii="Open Sans" w:hAnsi="Open Sans" w:cs="Open Sans"/>
          <w:sz w:val="22"/>
          <w:szCs w:val="22"/>
        </w:rPr>
        <w:t xml:space="preserve">to raise their children. It provides immediate, direct assistance to families as they navigate the ups and downs of the American economy. </w:t>
      </w:r>
    </w:p>
    <w:p w14:paraId="57D56D08" w14:textId="727915C3" w:rsidR="00497936" w:rsidRPr="00E24CD1" w:rsidRDefault="007960A9" w:rsidP="00497936">
      <w:pPr>
        <w:pStyle w:val="NormalWeb"/>
        <w:spacing w:after="120" w:line="276" w:lineRule="auto"/>
        <w:rPr>
          <w:rFonts w:ascii="Open Sans" w:hAnsi="Open Sans" w:cs="Open Sans"/>
          <w:sz w:val="22"/>
          <w:szCs w:val="22"/>
        </w:rPr>
      </w:pPr>
      <w:r w:rsidRPr="4DCE3463">
        <w:rPr>
          <w:rFonts w:ascii="Open Sans" w:hAnsi="Open Sans" w:cs="Open Sans"/>
          <w:sz w:val="22"/>
          <w:szCs w:val="22"/>
        </w:rPr>
        <w:t xml:space="preserve">A broad array of bipartisan policymakers </w:t>
      </w:r>
      <w:proofErr w:type="gramStart"/>
      <w:r w:rsidRPr="4DCE3463">
        <w:rPr>
          <w:rFonts w:ascii="Open Sans" w:hAnsi="Open Sans" w:cs="Open Sans"/>
          <w:sz w:val="22"/>
          <w:szCs w:val="22"/>
        </w:rPr>
        <w:t>have</w:t>
      </w:r>
      <w:proofErr w:type="gramEnd"/>
      <w:r w:rsidRPr="4DCE3463">
        <w:rPr>
          <w:rFonts w:ascii="Open Sans" w:hAnsi="Open Sans" w:cs="Open Sans"/>
          <w:sz w:val="22"/>
          <w:szCs w:val="22"/>
        </w:rPr>
        <w:t xml:space="preserve"> supported t</w:t>
      </w:r>
      <w:r w:rsidR="00497936" w:rsidRPr="4DCE3463">
        <w:rPr>
          <w:rFonts w:ascii="Open Sans" w:hAnsi="Open Sans" w:cs="Open Sans"/>
          <w:sz w:val="22"/>
          <w:szCs w:val="22"/>
        </w:rPr>
        <w:t xml:space="preserve">he CTC since it was first introduced in 1997. </w:t>
      </w:r>
      <w:r w:rsidR="00731373" w:rsidRPr="4DCE3463">
        <w:rPr>
          <w:rFonts w:ascii="Open Sans" w:hAnsi="Open Sans" w:cs="Open Sans"/>
          <w:sz w:val="22"/>
          <w:szCs w:val="22"/>
        </w:rPr>
        <w:t>Congress</w:t>
      </w:r>
      <w:r w:rsidR="00497936" w:rsidRPr="4DCE3463">
        <w:rPr>
          <w:rFonts w:ascii="Open Sans" w:hAnsi="Open Sans" w:cs="Open Sans"/>
          <w:sz w:val="22"/>
          <w:szCs w:val="22"/>
        </w:rPr>
        <w:t xml:space="preserve"> expanded and increased </w:t>
      </w:r>
      <w:r w:rsidR="00731373" w:rsidRPr="4DCE3463">
        <w:rPr>
          <w:rFonts w:ascii="Open Sans" w:hAnsi="Open Sans" w:cs="Open Sans"/>
          <w:sz w:val="22"/>
          <w:szCs w:val="22"/>
        </w:rPr>
        <w:t xml:space="preserve">the CTC </w:t>
      </w:r>
      <w:r w:rsidR="00497936" w:rsidRPr="4DCE3463">
        <w:rPr>
          <w:rFonts w:ascii="Open Sans" w:hAnsi="Open Sans" w:cs="Open Sans"/>
          <w:sz w:val="22"/>
          <w:szCs w:val="22"/>
        </w:rPr>
        <w:t xml:space="preserve">with support from both </w:t>
      </w:r>
      <w:proofErr w:type="gramStart"/>
      <w:r w:rsidR="00497936" w:rsidRPr="4DCE3463">
        <w:rPr>
          <w:rFonts w:ascii="Open Sans" w:hAnsi="Open Sans" w:cs="Open Sans"/>
          <w:sz w:val="22"/>
          <w:szCs w:val="22"/>
        </w:rPr>
        <w:t>parties</w:t>
      </w:r>
      <w:proofErr w:type="gramEnd"/>
      <w:r w:rsidR="00497936" w:rsidRPr="4DCE3463">
        <w:rPr>
          <w:rFonts w:ascii="Open Sans" w:hAnsi="Open Sans" w:cs="Open Sans"/>
          <w:sz w:val="22"/>
          <w:szCs w:val="22"/>
        </w:rPr>
        <w:t xml:space="preserve"> multiple times.</w:t>
      </w:r>
      <w:r w:rsidR="006C4834" w:rsidRPr="4DCE3463">
        <w:rPr>
          <w:rFonts w:ascii="Open Sans" w:hAnsi="Open Sans" w:cs="Open Sans"/>
          <w:sz w:val="22"/>
          <w:szCs w:val="22"/>
        </w:rPr>
        <w:t xml:space="preserve"> Unfortunately, </w:t>
      </w:r>
      <w:r w:rsidR="0029080B" w:rsidRPr="4DCE3463">
        <w:rPr>
          <w:rFonts w:ascii="Open Sans" w:hAnsi="Open Sans" w:cs="Open Sans"/>
          <w:sz w:val="22"/>
          <w:szCs w:val="22"/>
        </w:rPr>
        <w:t xml:space="preserve">under current law </w:t>
      </w:r>
      <w:r w:rsidR="006C4834" w:rsidRPr="4DCE3463">
        <w:rPr>
          <w:rFonts w:ascii="Open Sans" w:hAnsi="Open Sans" w:cs="Open Sans"/>
          <w:sz w:val="22"/>
          <w:szCs w:val="22"/>
        </w:rPr>
        <w:t xml:space="preserve">an estimated </w:t>
      </w:r>
      <w:hyperlink r:id="rId19">
        <w:r w:rsidR="006C4834" w:rsidRPr="4DCE3463">
          <w:rPr>
            <w:rStyle w:val="Hyperlink"/>
            <w:rFonts w:ascii="Open Sans" w:hAnsi="Open Sans" w:cs="Open Sans"/>
            <w:sz w:val="22"/>
            <w:szCs w:val="22"/>
          </w:rPr>
          <w:t xml:space="preserve">27 million children in </w:t>
        </w:r>
        <w:r w:rsidR="00C25E57" w:rsidRPr="4DCE3463">
          <w:rPr>
            <w:rStyle w:val="Hyperlink"/>
            <w:rFonts w:ascii="Open Sans" w:hAnsi="Open Sans" w:cs="Open Sans"/>
            <w:sz w:val="22"/>
            <w:szCs w:val="22"/>
          </w:rPr>
          <w:t xml:space="preserve">the </w:t>
        </w:r>
        <w:r w:rsidR="006C4834" w:rsidRPr="4DCE3463">
          <w:rPr>
            <w:rStyle w:val="Hyperlink"/>
            <w:rFonts w:ascii="Open Sans" w:hAnsi="Open Sans" w:cs="Open Sans"/>
            <w:sz w:val="22"/>
            <w:szCs w:val="22"/>
          </w:rPr>
          <w:t>low</w:t>
        </w:r>
        <w:r w:rsidR="00C25E57" w:rsidRPr="4DCE3463">
          <w:rPr>
            <w:rStyle w:val="Hyperlink"/>
            <w:rFonts w:ascii="Open Sans" w:hAnsi="Open Sans" w:cs="Open Sans"/>
            <w:sz w:val="22"/>
            <w:szCs w:val="22"/>
          </w:rPr>
          <w:t>est</w:t>
        </w:r>
        <w:r w:rsidR="006C4834" w:rsidRPr="4DCE3463">
          <w:rPr>
            <w:rStyle w:val="Hyperlink"/>
            <w:rFonts w:ascii="Open Sans" w:hAnsi="Open Sans" w:cs="Open Sans"/>
            <w:sz w:val="22"/>
            <w:szCs w:val="22"/>
          </w:rPr>
          <w:t>-income families</w:t>
        </w:r>
      </w:hyperlink>
      <w:r w:rsidR="006C4834" w:rsidRPr="4DCE3463">
        <w:rPr>
          <w:rFonts w:ascii="Open Sans" w:hAnsi="Open Sans" w:cs="Open Sans"/>
          <w:sz w:val="22"/>
          <w:szCs w:val="22"/>
        </w:rPr>
        <w:t xml:space="preserve"> do not get the full value of the CTC</w:t>
      </w:r>
      <w:r w:rsidR="00C25E57" w:rsidRPr="4DCE3463">
        <w:rPr>
          <w:rFonts w:ascii="Open Sans" w:hAnsi="Open Sans" w:cs="Open Sans"/>
          <w:sz w:val="22"/>
          <w:szCs w:val="22"/>
        </w:rPr>
        <w:t xml:space="preserve"> </w:t>
      </w:r>
      <w:r w:rsidR="00F063DC" w:rsidRPr="4DCE3463">
        <w:rPr>
          <w:rFonts w:ascii="Open Sans" w:hAnsi="Open Sans" w:cs="Open Sans"/>
          <w:sz w:val="22"/>
          <w:szCs w:val="22"/>
        </w:rPr>
        <w:t xml:space="preserve">(except during </w:t>
      </w:r>
      <w:r w:rsidR="0090731B" w:rsidRPr="4DCE3463">
        <w:rPr>
          <w:rFonts w:ascii="Open Sans" w:hAnsi="Open Sans" w:cs="Open Sans"/>
          <w:sz w:val="22"/>
          <w:szCs w:val="22"/>
        </w:rPr>
        <w:t>2021)</w:t>
      </w:r>
      <w:r w:rsidR="00980752" w:rsidRPr="4DCE3463">
        <w:rPr>
          <w:rFonts w:ascii="Open Sans" w:hAnsi="Open Sans" w:cs="Open Sans"/>
          <w:sz w:val="22"/>
          <w:szCs w:val="22"/>
        </w:rPr>
        <w:t>. A</w:t>
      </w:r>
      <w:r w:rsidR="00C25E57" w:rsidRPr="4DCE3463">
        <w:rPr>
          <w:rFonts w:ascii="Open Sans" w:hAnsi="Open Sans" w:cs="Open Sans"/>
          <w:sz w:val="22"/>
          <w:szCs w:val="22"/>
        </w:rPr>
        <w:t xml:space="preserve">ny legislative </w:t>
      </w:r>
      <w:r w:rsidR="00F063DC" w:rsidRPr="4DCE3463">
        <w:rPr>
          <w:rFonts w:ascii="Open Sans" w:hAnsi="Open Sans" w:cs="Open Sans"/>
          <w:sz w:val="22"/>
          <w:szCs w:val="22"/>
        </w:rPr>
        <w:t xml:space="preserve">changes to the </w:t>
      </w:r>
      <w:r w:rsidR="0090731B" w:rsidRPr="4DCE3463">
        <w:rPr>
          <w:rFonts w:ascii="Open Sans" w:hAnsi="Open Sans" w:cs="Open Sans"/>
          <w:sz w:val="22"/>
          <w:szCs w:val="22"/>
        </w:rPr>
        <w:t>CTC must ensure these families</w:t>
      </w:r>
      <w:r w:rsidR="000447EE" w:rsidRPr="4DCE3463">
        <w:rPr>
          <w:rFonts w:ascii="Open Sans" w:hAnsi="Open Sans" w:cs="Open Sans"/>
          <w:sz w:val="22"/>
          <w:szCs w:val="22"/>
        </w:rPr>
        <w:t xml:space="preserve"> </w:t>
      </w:r>
      <w:r w:rsidR="00BC1156" w:rsidRPr="4DCE3463">
        <w:rPr>
          <w:rFonts w:ascii="Open Sans" w:hAnsi="Open Sans" w:cs="Open Sans"/>
          <w:sz w:val="22"/>
          <w:szCs w:val="22"/>
        </w:rPr>
        <w:t>get</w:t>
      </w:r>
      <w:r w:rsidR="000447EE" w:rsidRPr="4DCE3463">
        <w:rPr>
          <w:rFonts w:ascii="Open Sans" w:hAnsi="Open Sans" w:cs="Open Sans"/>
          <w:sz w:val="22"/>
          <w:szCs w:val="22"/>
        </w:rPr>
        <w:t xml:space="preserve"> the full </w:t>
      </w:r>
      <w:r w:rsidR="00E65EE1" w:rsidRPr="4DCE3463">
        <w:rPr>
          <w:rFonts w:ascii="Open Sans" w:hAnsi="Open Sans" w:cs="Open Sans"/>
          <w:sz w:val="22"/>
          <w:szCs w:val="22"/>
        </w:rPr>
        <w:t>benefit</w:t>
      </w:r>
      <w:r w:rsidR="000447EE" w:rsidRPr="4DCE3463">
        <w:rPr>
          <w:rFonts w:ascii="Open Sans" w:hAnsi="Open Sans" w:cs="Open Sans"/>
          <w:sz w:val="22"/>
          <w:szCs w:val="22"/>
        </w:rPr>
        <w:t>.</w:t>
      </w:r>
    </w:p>
    <w:p w14:paraId="7252266A" w14:textId="015EA9D8" w:rsidR="00552757" w:rsidRPr="00C01178" w:rsidRDefault="00E24CD1">
      <w:pPr>
        <w:spacing w:after="120" w:line="276" w:lineRule="auto"/>
        <w:rPr>
          <w:rFonts w:ascii="Open Sans" w:hAnsi="Open Sans" w:cs="Open Sans"/>
          <w:noProof/>
          <w:color w:val="000000" w:themeColor="text1"/>
          <w:sz w:val="22"/>
          <w:szCs w:val="22"/>
        </w:rPr>
      </w:pPr>
      <w:r w:rsidRPr="4DCE3463">
        <w:rPr>
          <w:rFonts w:ascii="Open Sans" w:hAnsi="Open Sans" w:cs="Open Sans"/>
          <w:sz w:val="22"/>
          <w:szCs w:val="22"/>
        </w:rPr>
        <w:t xml:space="preserve">Congress must </w:t>
      </w:r>
      <w:r w:rsidR="00497936" w:rsidRPr="4DCE3463">
        <w:rPr>
          <w:rFonts w:ascii="Open Sans" w:hAnsi="Open Sans" w:cs="Open Sans"/>
          <w:sz w:val="22"/>
          <w:szCs w:val="22"/>
        </w:rPr>
        <w:t xml:space="preserve">work together, as they have so many times in the past, and </w:t>
      </w:r>
      <w:r w:rsidRPr="4DCE3463">
        <w:rPr>
          <w:rFonts w:ascii="Open Sans" w:hAnsi="Open Sans" w:cs="Open Sans"/>
          <w:sz w:val="22"/>
          <w:szCs w:val="22"/>
        </w:rPr>
        <w:t>extend the expanded CTC with permanent full refundability.</w:t>
      </w:r>
      <w:r w:rsidR="00B02FD8" w:rsidRPr="4DCE3463">
        <w:rPr>
          <w:rFonts w:ascii="Open Sans" w:hAnsi="Open Sans" w:cs="Open Sans"/>
          <w:sz w:val="22"/>
          <w:szCs w:val="22"/>
        </w:rPr>
        <w:t xml:space="preserve"> </w:t>
      </w:r>
      <w:r w:rsidR="00E459F8" w:rsidRPr="4C6EA41D">
        <w:rPr>
          <w:rFonts w:ascii="Open Sans" w:hAnsi="Open Sans" w:cs="Open Sans"/>
          <w:b/>
          <w:color w:val="000000" w:themeColor="text2"/>
          <w:sz w:val="22"/>
          <w:szCs w:val="22"/>
        </w:rPr>
        <w:t>RESULTS urges you to</w:t>
      </w:r>
      <w:r w:rsidR="00C01178" w:rsidRPr="4DCE3463">
        <w:rPr>
          <w:rFonts w:ascii="Open Sans" w:hAnsi="Open Sans" w:cs="Open Sans"/>
          <w:b/>
          <w:bCs/>
          <w:sz w:val="22"/>
          <w:szCs w:val="22"/>
        </w:rPr>
        <w:t xml:space="preserve"> work with colleagues to</w:t>
      </w:r>
      <w:r w:rsidR="00A77407" w:rsidRPr="4C6EA41D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 xml:space="preserve"> find a long-term bipartisan solution to </w:t>
      </w:r>
      <w:r w:rsidR="00A77407" w:rsidRPr="4DCE3463">
        <w:rPr>
          <w:rFonts w:ascii="Open Sans" w:eastAsia="Open Sans" w:hAnsi="Open Sans" w:cs="Open Sans"/>
          <w:b/>
          <w:bCs/>
          <w:color w:val="000000" w:themeColor="text2"/>
          <w:sz w:val="22"/>
          <w:szCs w:val="22"/>
        </w:rPr>
        <w:t>support</w:t>
      </w:r>
      <w:r w:rsidR="00A77407" w:rsidRPr="4C6EA41D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 xml:space="preserve"> families and fight child poverty</w:t>
      </w:r>
      <w:r w:rsidR="00C01178" w:rsidRPr="4DCE3463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</w:t>
      </w:r>
      <w:r w:rsidR="00C01178" w:rsidRPr="4C6EA41D">
        <w:rPr>
          <w:rFonts w:ascii="Open Sans" w:eastAsia="Open Sans" w:hAnsi="Open Sans" w:cs="Open Sans"/>
          <w:b/>
          <w:color w:val="000000" w:themeColor="text2"/>
          <w:sz w:val="22"/>
          <w:szCs w:val="22"/>
        </w:rPr>
        <w:t>by strengthening the CTC</w:t>
      </w:r>
      <w:r w:rsidR="00C01178" w:rsidRPr="4DCE3463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, </w:t>
      </w:r>
      <w:r w:rsidR="00A77407" w:rsidRPr="4DCE3463">
        <w:rPr>
          <w:rFonts w:ascii="Open Sans" w:eastAsia="Open Sans" w:hAnsi="Open Sans" w:cs="Open Sans"/>
          <w:color w:val="000000" w:themeColor="text2"/>
          <w:sz w:val="22"/>
          <w:szCs w:val="22"/>
        </w:rPr>
        <w:t>prioritizing the needs of families with the lowest or no incomes</w:t>
      </w:r>
      <w:r w:rsidR="00C01178" w:rsidRPr="4DCE3463">
        <w:rPr>
          <w:rFonts w:ascii="Open Sans" w:eastAsia="Open Sans" w:hAnsi="Open Sans" w:cs="Open Sans"/>
          <w:color w:val="000000" w:themeColor="text2"/>
          <w:sz w:val="22"/>
          <w:szCs w:val="22"/>
        </w:rPr>
        <w:t xml:space="preserve"> in any </w:t>
      </w:r>
      <w:r w:rsidR="00A77407" w:rsidRPr="4DCE3463">
        <w:rPr>
          <w:rFonts w:ascii="Open Sans" w:eastAsia="Open Sans" w:hAnsi="Open Sans" w:cs="Open Sans"/>
          <w:color w:val="000000" w:themeColor="text2"/>
          <w:sz w:val="22"/>
          <w:szCs w:val="22"/>
        </w:rPr>
        <w:t>tax legislation this year</w:t>
      </w:r>
      <w:r w:rsidR="00C01178" w:rsidRPr="4DCE3463">
        <w:rPr>
          <w:rFonts w:ascii="Open Sans" w:eastAsia="Open Sans" w:hAnsi="Open Sans" w:cs="Open Sans"/>
          <w:color w:val="000000" w:themeColor="text2"/>
          <w:sz w:val="22"/>
          <w:szCs w:val="22"/>
        </w:rPr>
        <w:t>.</w:t>
      </w:r>
    </w:p>
    <w:sectPr w:rsidR="00552757" w:rsidRPr="00C01178" w:rsidSect="00FA1777">
      <w:footerReference w:type="default" r:id="rId20"/>
      <w:headerReference w:type="first" r:id="rId21"/>
      <w:footerReference w:type="first" r:id="rId2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ADCCD" w14:textId="77777777" w:rsidR="0032041A" w:rsidRDefault="0032041A" w:rsidP="00E5738D">
      <w:r>
        <w:separator/>
      </w:r>
    </w:p>
  </w:endnote>
  <w:endnote w:type="continuationSeparator" w:id="0">
    <w:p w14:paraId="51C8DC20" w14:textId="77777777" w:rsidR="0032041A" w:rsidRDefault="0032041A" w:rsidP="00E5738D">
      <w:r>
        <w:continuationSeparator/>
      </w:r>
    </w:p>
  </w:endnote>
  <w:endnote w:type="continuationNotice" w:id="1">
    <w:p w14:paraId="337CBB89" w14:textId="77777777" w:rsidR="0032041A" w:rsidRDefault="0032041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F6C0" w14:textId="77777777" w:rsidR="00792B4C" w:rsidRPr="00CD6503" w:rsidRDefault="00792B4C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1101 15</w:t>
    </w:r>
    <w:r w:rsidRPr="00CD6503">
      <w:rPr>
        <w:rFonts w:asciiTheme="majorHAnsi" w:hAnsiTheme="majorHAnsi"/>
        <w:color w:val="58585B"/>
        <w:sz w:val="22"/>
        <w:szCs w:val="22"/>
        <w:vertAlign w:val="superscript"/>
      </w:rPr>
      <w:t>th</w:t>
    </w:r>
    <w:r w:rsidRPr="00CD6503">
      <w:rPr>
        <w:rFonts w:asciiTheme="majorHAnsi" w:hAnsiTheme="majorHAnsi"/>
        <w:color w:val="58585B"/>
        <w:sz w:val="22"/>
        <w:szCs w:val="22"/>
      </w:rPr>
      <w:t xml:space="preserve"> St</w:t>
    </w:r>
    <w:r w:rsidR="0046169B" w:rsidRPr="00CD6503">
      <w:rPr>
        <w:rFonts w:asciiTheme="majorHAnsi" w:hAnsiTheme="majorHAnsi"/>
        <w:color w:val="58585B"/>
        <w:sz w:val="22"/>
        <w:szCs w:val="22"/>
      </w:rPr>
      <w:t>.</w:t>
    </w:r>
    <w:r w:rsidRPr="00CD6503">
      <w:rPr>
        <w:rFonts w:asciiTheme="majorHAnsi" w:hAnsiTheme="majorHAnsi"/>
        <w:color w:val="58585B"/>
        <w:sz w:val="22"/>
        <w:szCs w:val="22"/>
      </w:rPr>
      <w:t xml:space="preserve"> NW, Suite </w:t>
    </w:r>
    <w:proofErr w:type="gramStart"/>
    <w:r w:rsidRPr="00CD6503">
      <w:rPr>
        <w:rFonts w:asciiTheme="majorHAnsi" w:hAnsiTheme="majorHAnsi"/>
        <w:color w:val="58585B"/>
        <w:sz w:val="22"/>
        <w:szCs w:val="22"/>
      </w:rPr>
      <w:t>1200  |</w:t>
    </w:r>
    <w:proofErr w:type="gramEnd"/>
    <w:r w:rsidRPr="00CD6503">
      <w:rPr>
        <w:rFonts w:asciiTheme="majorHAnsi" w:hAnsiTheme="majorHAnsi"/>
        <w:color w:val="58585B"/>
        <w:sz w:val="22"/>
        <w:szCs w:val="22"/>
      </w:rPr>
      <w:t xml:space="preserve">  Washington</w:t>
    </w:r>
    <w:r w:rsidR="005E4A16" w:rsidRPr="00CD6503">
      <w:rPr>
        <w:rFonts w:asciiTheme="majorHAnsi" w:hAnsiTheme="majorHAnsi"/>
        <w:color w:val="58585B"/>
        <w:sz w:val="22"/>
        <w:szCs w:val="22"/>
      </w:rPr>
      <w:t>,</w:t>
    </w:r>
    <w:r w:rsidRPr="00CD6503">
      <w:rPr>
        <w:rFonts w:asciiTheme="majorHAnsi" w:hAnsiTheme="majorHAnsi"/>
        <w:color w:val="58585B"/>
        <w:sz w:val="22"/>
        <w:szCs w:val="22"/>
      </w:rPr>
      <w:t xml:space="preserve"> DC 200</w:t>
    </w:r>
    <w:r w:rsidR="00B95AC9" w:rsidRPr="00CD6503">
      <w:rPr>
        <w:rFonts w:asciiTheme="majorHAnsi" w:hAnsiTheme="majorHAnsi"/>
        <w:color w:val="58585B"/>
        <w:sz w:val="22"/>
        <w:szCs w:val="22"/>
      </w:rPr>
      <w:t>0</w:t>
    </w:r>
    <w:r w:rsidRPr="00CD6503">
      <w:rPr>
        <w:rFonts w:asciiTheme="majorHAnsi" w:hAnsiTheme="majorHAnsi"/>
        <w:color w:val="58585B"/>
        <w:sz w:val="22"/>
        <w:szCs w:val="22"/>
      </w:rPr>
      <w:t>5</w:t>
    </w:r>
  </w:p>
  <w:p w14:paraId="13BC1857" w14:textId="77777777" w:rsidR="00792B4C" w:rsidRPr="00CD6503" w:rsidRDefault="00B9113B" w:rsidP="00E5738D">
    <w:pPr>
      <w:pStyle w:val="Footer"/>
      <w:jc w:val="center"/>
      <w:rPr>
        <w:rFonts w:asciiTheme="majorHAnsi" w:hAnsiTheme="majorHAnsi"/>
        <w:color w:val="58585B"/>
        <w:sz w:val="22"/>
        <w:szCs w:val="22"/>
      </w:rPr>
    </w:pPr>
    <w:r w:rsidRPr="00CD6503">
      <w:rPr>
        <w:rFonts w:asciiTheme="majorHAnsi" w:hAnsiTheme="majorHAnsi"/>
        <w:color w:val="58585B"/>
        <w:sz w:val="22"/>
        <w:szCs w:val="22"/>
      </w:rPr>
      <w:t>P: (202) 783-</w:t>
    </w:r>
    <w:proofErr w:type="gramStart"/>
    <w:r w:rsidR="00792B4C" w:rsidRPr="00CD6503">
      <w:rPr>
        <w:rFonts w:asciiTheme="majorHAnsi" w:hAnsiTheme="majorHAnsi"/>
        <w:color w:val="58585B"/>
        <w:sz w:val="22"/>
        <w:szCs w:val="22"/>
      </w:rPr>
      <w:t>4800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</w:t>
    </w:r>
    <w:r w:rsidR="00792B4C" w:rsidRPr="00CD6503">
      <w:rPr>
        <w:rFonts w:asciiTheme="majorHAnsi" w:hAnsiTheme="majorHAnsi"/>
        <w:color w:val="58585B"/>
        <w:sz w:val="22"/>
        <w:szCs w:val="22"/>
      </w:rPr>
      <w:t>|</w:t>
    </w:r>
    <w:proofErr w:type="gramEnd"/>
    <w:r w:rsidR="00792B4C" w:rsidRPr="00CD6503">
      <w:rPr>
        <w:rFonts w:asciiTheme="majorHAnsi" w:hAnsiTheme="majorHAnsi"/>
        <w:color w:val="58585B"/>
        <w:sz w:val="22"/>
        <w:szCs w:val="22"/>
      </w:rPr>
      <w:t xml:space="preserve">  www.results.org</w:t>
    </w:r>
    <w:r w:rsidR="00527124" w:rsidRPr="00CD6503">
      <w:rPr>
        <w:rFonts w:asciiTheme="majorHAnsi" w:hAnsiTheme="majorHAnsi"/>
        <w:color w:val="58585B"/>
        <w:sz w:val="22"/>
        <w:szCs w:val="22"/>
      </w:rPr>
      <w:t xml:space="preserve">  |  @RESULTS_Tweets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C7323" w14:textId="77777777" w:rsidR="00527124" w:rsidRPr="004434BE" w:rsidRDefault="00527124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4434BE">
      <w:rPr>
        <w:rFonts w:ascii="Open Sans" w:hAnsi="Open Sans" w:cs="Open Sans"/>
        <w:color w:val="58585B"/>
        <w:sz w:val="18"/>
        <w:szCs w:val="18"/>
      </w:rPr>
      <w:t>1101 15</w:t>
    </w:r>
    <w:r w:rsidRPr="004434BE">
      <w:rPr>
        <w:rFonts w:ascii="Open Sans" w:hAnsi="Open Sans" w:cs="Open Sans"/>
        <w:color w:val="58585B"/>
        <w:sz w:val="18"/>
        <w:szCs w:val="18"/>
        <w:vertAlign w:val="superscript"/>
      </w:rPr>
      <w:t>th</w:t>
    </w:r>
    <w:r w:rsidRPr="004434BE">
      <w:rPr>
        <w:rFonts w:ascii="Open Sans" w:hAnsi="Open Sans" w:cs="Open Sans"/>
        <w:color w:val="58585B"/>
        <w:sz w:val="18"/>
        <w:szCs w:val="18"/>
      </w:rPr>
      <w:t xml:space="preserve"> St</w:t>
    </w:r>
    <w:r w:rsidR="00B9113B" w:rsidRPr="004434BE">
      <w:rPr>
        <w:rFonts w:ascii="Open Sans" w:hAnsi="Open Sans" w:cs="Open Sans"/>
        <w:color w:val="58585B"/>
        <w:sz w:val="18"/>
        <w:szCs w:val="18"/>
      </w:rPr>
      <w:t>.</w:t>
    </w:r>
    <w:r w:rsidRPr="004434BE">
      <w:rPr>
        <w:rFonts w:ascii="Open Sans" w:hAnsi="Open Sans" w:cs="Open Sans"/>
        <w:color w:val="58585B"/>
        <w:sz w:val="18"/>
        <w:szCs w:val="18"/>
      </w:rPr>
      <w:t xml:space="preserve"> NW, Suite </w:t>
    </w:r>
    <w:proofErr w:type="gramStart"/>
    <w:r w:rsidRPr="004434BE">
      <w:rPr>
        <w:rFonts w:ascii="Open Sans" w:hAnsi="Open Sans" w:cs="Open Sans"/>
        <w:color w:val="58585B"/>
        <w:sz w:val="18"/>
        <w:szCs w:val="18"/>
      </w:rPr>
      <w:t>1200  |</w:t>
    </w:r>
    <w:proofErr w:type="gramEnd"/>
    <w:r w:rsidRPr="004434BE">
      <w:rPr>
        <w:rFonts w:ascii="Open Sans" w:hAnsi="Open Sans" w:cs="Open Sans"/>
        <w:color w:val="58585B"/>
        <w:sz w:val="18"/>
        <w:szCs w:val="18"/>
      </w:rPr>
      <w:t xml:space="preserve">  Washington, DC 20005</w:t>
    </w:r>
  </w:p>
  <w:p w14:paraId="22F9B958" w14:textId="77777777" w:rsidR="00527124" w:rsidRPr="004434BE" w:rsidRDefault="00B9113B" w:rsidP="00527124">
    <w:pPr>
      <w:pStyle w:val="Footer"/>
      <w:jc w:val="center"/>
      <w:rPr>
        <w:rFonts w:ascii="Open Sans" w:hAnsi="Open Sans" w:cs="Open Sans"/>
        <w:color w:val="58585B"/>
        <w:sz w:val="18"/>
        <w:szCs w:val="18"/>
      </w:rPr>
    </w:pPr>
    <w:r w:rsidRPr="004434BE">
      <w:rPr>
        <w:rFonts w:ascii="Open Sans" w:hAnsi="Open Sans" w:cs="Open Sans"/>
        <w:color w:val="58585B"/>
        <w:sz w:val="18"/>
        <w:szCs w:val="18"/>
      </w:rPr>
      <w:t>P: (202) 783-</w:t>
    </w:r>
    <w:proofErr w:type="gramStart"/>
    <w:r w:rsidR="00527124" w:rsidRPr="004434BE">
      <w:rPr>
        <w:rFonts w:ascii="Open Sans" w:hAnsi="Open Sans" w:cs="Open Sans"/>
        <w:color w:val="58585B"/>
        <w:sz w:val="18"/>
        <w:szCs w:val="18"/>
      </w:rPr>
      <w:t>4800  |</w:t>
    </w:r>
    <w:proofErr w:type="gramEnd"/>
    <w:r w:rsidR="00527124" w:rsidRPr="004434BE">
      <w:rPr>
        <w:rFonts w:ascii="Open Sans" w:hAnsi="Open Sans" w:cs="Open Sans"/>
        <w:color w:val="58585B"/>
        <w:sz w:val="18"/>
        <w:szCs w:val="18"/>
      </w:rPr>
      <w:t xml:space="preserve">  www.results.org  |  @RESULTS_Tweets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8BD12" w14:textId="77777777" w:rsidR="0032041A" w:rsidRDefault="0032041A" w:rsidP="00E5738D">
      <w:r>
        <w:separator/>
      </w:r>
    </w:p>
  </w:footnote>
  <w:footnote w:type="continuationSeparator" w:id="0">
    <w:p w14:paraId="1BEB8C48" w14:textId="77777777" w:rsidR="0032041A" w:rsidRDefault="0032041A" w:rsidP="00E5738D">
      <w:r>
        <w:continuationSeparator/>
      </w:r>
    </w:p>
  </w:footnote>
  <w:footnote w:type="continuationNotice" w:id="1">
    <w:p w14:paraId="3679E2A9" w14:textId="77777777" w:rsidR="0032041A" w:rsidRDefault="0032041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1CE67" w14:textId="77777777" w:rsidR="00527124" w:rsidRDefault="00CD6503" w:rsidP="00CD6503">
    <w:pPr>
      <w:pStyle w:val="Header"/>
      <w:rPr>
        <w:rFonts w:ascii="Helvetica" w:hAnsi="Helvetica"/>
        <w:color w:val="000000" w:themeColor="text1"/>
      </w:rPr>
    </w:pPr>
    <w:r>
      <w:rPr>
        <w:rFonts w:ascii="Helvetica" w:hAnsi="Helvetica"/>
        <w:noProof/>
        <w:color w:val="000000" w:themeColor="text1"/>
        <w:shd w:val="clear" w:color="auto" w:fill="E6E6E6"/>
      </w:rPr>
      <w:drawing>
        <wp:anchor distT="0" distB="0" distL="114300" distR="114300" simplePos="0" relativeHeight="251660288" behindDoc="0" locked="0" layoutInCell="1" allowOverlap="1" wp14:anchorId="13B7C1F7" wp14:editId="38426CEA">
          <wp:simplePos x="0" y="0"/>
          <wp:positionH relativeFrom="column">
            <wp:posOffset>5143500</wp:posOffset>
          </wp:positionH>
          <wp:positionV relativeFrom="paragraph">
            <wp:posOffset>-190500</wp:posOffset>
          </wp:positionV>
          <wp:extent cx="1139190" cy="908050"/>
          <wp:effectExtent l="0" t="0" r="3810" b="635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19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 xmlns:a14="http://schemas.microsoft.com/office/drawing/2010/main" xmlns:adec="http://schemas.microsoft.com/office/drawing/2017/decorative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826EB5" w14:textId="6F0E7246" w:rsidR="00527124" w:rsidRPr="00606E9E" w:rsidRDefault="00176398" w:rsidP="006D2BA0">
    <w:pPr>
      <w:pStyle w:val="Header"/>
      <w:spacing w:after="0"/>
      <w:rPr>
        <w:rFonts w:ascii="Open Sans ExtraBold" w:hAnsi="Open Sans ExtraBold" w:cs="Open Sans ExtraBold"/>
        <w:bCs/>
        <w:sz w:val="32"/>
        <w:szCs w:val="32"/>
      </w:rPr>
    </w:pPr>
    <w:r w:rsidRPr="00606E9E">
      <w:rPr>
        <w:rFonts w:ascii="Open Sans" w:hAnsi="Open Sans" w:cs="Open Sans"/>
        <w:b/>
        <w:bCs/>
        <w:sz w:val="32"/>
        <w:szCs w:val="32"/>
      </w:rPr>
      <w:t>U.S. Poverty Policy Request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442"/>
    <w:multiLevelType w:val="hybridMultilevel"/>
    <w:tmpl w:val="97D2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A12"/>
    <w:multiLevelType w:val="hybridMultilevel"/>
    <w:tmpl w:val="D7AC8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BEE"/>
    <w:multiLevelType w:val="hybridMultilevel"/>
    <w:tmpl w:val="C090F3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CA4F9A"/>
    <w:multiLevelType w:val="hybridMultilevel"/>
    <w:tmpl w:val="F81E4C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C4016"/>
    <w:multiLevelType w:val="hybridMultilevel"/>
    <w:tmpl w:val="50C02B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436B0B"/>
    <w:multiLevelType w:val="hybridMultilevel"/>
    <w:tmpl w:val="C2907EDA"/>
    <w:lvl w:ilvl="0" w:tplc="B5CC05B8">
      <w:start w:val="1"/>
      <w:numFmt w:val="lowerLetter"/>
      <w:lvlText w:val="%1."/>
      <w:lvlJc w:val="left"/>
      <w:pPr>
        <w:ind w:left="800" w:hanging="44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A1E7F"/>
    <w:multiLevelType w:val="hybridMultilevel"/>
    <w:tmpl w:val="5C523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234AA"/>
    <w:multiLevelType w:val="hybridMultilevel"/>
    <w:tmpl w:val="38C8B5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9735C"/>
    <w:multiLevelType w:val="hybridMultilevel"/>
    <w:tmpl w:val="A7027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D3EA9"/>
    <w:multiLevelType w:val="hybridMultilevel"/>
    <w:tmpl w:val="E2CEADB6"/>
    <w:lvl w:ilvl="0" w:tplc="B9AA66E6">
      <w:numFmt w:val="bullet"/>
      <w:lvlText w:val="•"/>
      <w:lvlJc w:val="left"/>
      <w:pPr>
        <w:ind w:left="360" w:hanging="720"/>
      </w:pPr>
      <w:rPr>
        <w:rFonts w:ascii="Helvetica" w:eastAsiaTheme="minorEastAsia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2DD1370"/>
    <w:multiLevelType w:val="hybridMultilevel"/>
    <w:tmpl w:val="08D40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5145597">
    <w:abstractNumId w:val="10"/>
  </w:num>
  <w:num w:numId="2" w16cid:durableId="418213871">
    <w:abstractNumId w:val="5"/>
  </w:num>
  <w:num w:numId="3" w16cid:durableId="2067139734">
    <w:abstractNumId w:val="1"/>
  </w:num>
  <w:num w:numId="4" w16cid:durableId="1120566383">
    <w:abstractNumId w:val="0"/>
  </w:num>
  <w:num w:numId="5" w16cid:durableId="104885021">
    <w:abstractNumId w:val="7"/>
  </w:num>
  <w:num w:numId="6" w16cid:durableId="1856962664">
    <w:abstractNumId w:val="6"/>
  </w:num>
  <w:num w:numId="7" w16cid:durableId="26688951">
    <w:abstractNumId w:val="2"/>
  </w:num>
  <w:num w:numId="8" w16cid:durableId="261105831">
    <w:abstractNumId w:val="3"/>
  </w:num>
  <w:num w:numId="9" w16cid:durableId="248278220">
    <w:abstractNumId w:val="4"/>
  </w:num>
  <w:num w:numId="10" w16cid:durableId="30999711">
    <w:abstractNumId w:val="9"/>
  </w:num>
  <w:num w:numId="11" w16cid:durableId="1027633680">
    <w:abstractNumId w:val="9"/>
  </w:num>
  <w:num w:numId="12" w16cid:durableId="8460923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E4C"/>
    <w:rsid w:val="000072CC"/>
    <w:rsid w:val="00007D1F"/>
    <w:rsid w:val="00010795"/>
    <w:rsid w:val="00017385"/>
    <w:rsid w:val="000200BA"/>
    <w:rsid w:val="00023856"/>
    <w:rsid w:val="00024FD1"/>
    <w:rsid w:val="0002718F"/>
    <w:rsid w:val="00030EB0"/>
    <w:rsid w:val="00031772"/>
    <w:rsid w:val="00036171"/>
    <w:rsid w:val="000365F3"/>
    <w:rsid w:val="000370EA"/>
    <w:rsid w:val="0004248F"/>
    <w:rsid w:val="000447EE"/>
    <w:rsid w:val="00044DB0"/>
    <w:rsid w:val="00047DB9"/>
    <w:rsid w:val="00051009"/>
    <w:rsid w:val="0005362C"/>
    <w:rsid w:val="00056A3A"/>
    <w:rsid w:val="00056A66"/>
    <w:rsid w:val="00075C2B"/>
    <w:rsid w:val="00077572"/>
    <w:rsid w:val="0008180F"/>
    <w:rsid w:val="00082D7D"/>
    <w:rsid w:val="0008304D"/>
    <w:rsid w:val="00083E0D"/>
    <w:rsid w:val="00084C49"/>
    <w:rsid w:val="000859C9"/>
    <w:rsid w:val="00096346"/>
    <w:rsid w:val="000A0353"/>
    <w:rsid w:val="000A1D10"/>
    <w:rsid w:val="000A698D"/>
    <w:rsid w:val="000A7D66"/>
    <w:rsid w:val="000B0528"/>
    <w:rsid w:val="000B0B6E"/>
    <w:rsid w:val="000C1641"/>
    <w:rsid w:val="000C3209"/>
    <w:rsid w:val="000C3A3F"/>
    <w:rsid w:val="000C4C58"/>
    <w:rsid w:val="000D2598"/>
    <w:rsid w:val="000D63FD"/>
    <w:rsid w:val="000D719F"/>
    <w:rsid w:val="000D7EAF"/>
    <w:rsid w:val="000E01FD"/>
    <w:rsid w:val="000E057A"/>
    <w:rsid w:val="000E2908"/>
    <w:rsid w:val="000F1CC3"/>
    <w:rsid w:val="000F20EB"/>
    <w:rsid w:val="000F4801"/>
    <w:rsid w:val="000F7EF0"/>
    <w:rsid w:val="001021CE"/>
    <w:rsid w:val="00103482"/>
    <w:rsid w:val="001069D3"/>
    <w:rsid w:val="001117B7"/>
    <w:rsid w:val="0011284C"/>
    <w:rsid w:val="001147FB"/>
    <w:rsid w:val="00115355"/>
    <w:rsid w:val="001179B9"/>
    <w:rsid w:val="0012111B"/>
    <w:rsid w:val="001250AB"/>
    <w:rsid w:val="00126ED2"/>
    <w:rsid w:val="0012771D"/>
    <w:rsid w:val="00131D13"/>
    <w:rsid w:val="001322EA"/>
    <w:rsid w:val="00140B05"/>
    <w:rsid w:val="00142207"/>
    <w:rsid w:val="0014430B"/>
    <w:rsid w:val="00144933"/>
    <w:rsid w:val="00145E44"/>
    <w:rsid w:val="00146269"/>
    <w:rsid w:val="00155B3F"/>
    <w:rsid w:val="001565B3"/>
    <w:rsid w:val="0016067B"/>
    <w:rsid w:val="00162B07"/>
    <w:rsid w:val="00165808"/>
    <w:rsid w:val="00171FB8"/>
    <w:rsid w:val="001730C8"/>
    <w:rsid w:val="00176398"/>
    <w:rsid w:val="00184A00"/>
    <w:rsid w:val="00184CD4"/>
    <w:rsid w:val="001873C9"/>
    <w:rsid w:val="001927E4"/>
    <w:rsid w:val="001962B0"/>
    <w:rsid w:val="00196428"/>
    <w:rsid w:val="001A5543"/>
    <w:rsid w:val="001B2445"/>
    <w:rsid w:val="001B35A3"/>
    <w:rsid w:val="001B4050"/>
    <w:rsid w:val="001B46B1"/>
    <w:rsid w:val="001C1D40"/>
    <w:rsid w:val="001C6A69"/>
    <w:rsid w:val="001D4C18"/>
    <w:rsid w:val="001D6B91"/>
    <w:rsid w:val="001D711B"/>
    <w:rsid w:val="001E18AE"/>
    <w:rsid w:val="001E442C"/>
    <w:rsid w:val="001F273D"/>
    <w:rsid w:val="001F3C8A"/>
    <w:rsid w:val="001F4D41"/>
    <w:rsid w:val="00202081"/>
    <w:rsid w:val="002116DA"/>
    <w:rsid w:val="0021432D"/>
    <w:rsid w:val="0021612D"/>
    <w:rsid w:val="002178DA"/>
    <w:rsid w:val="002260A0"/>
    <w:rsid w:val="00233732"/>
    <w:rsid w:val="00234C02"/>
    <w:rsid w:val="002351BA"/>
    <w:rsid w:val="00237E97"/>
    <w:rsid w:val="00240630"/>
    <w:rsid w:val="00240C7D"/>
    <w:rsid w:val="002420CF"/>
    <w:rsid w:val="0025166F"/>
    <w:rsid w:val="00253EE1"/>
    <w:rsid w:val="002548CC"/>
    <w:rsid w:val="002557C1"/>
    <w:rsid w:val="00260612"/>
    <w:rsid w:val="002631FD"/>
    <w:rsid w:val="00264248"/>
    <w:rsid w:val="00267F8D"/>
    <w:rsid w:val="00270168"/>
    <w:rsid w:val="00270C85"/>
    <w:rsid w:val="00273E79"/>
    <w:rsid w:val="00276B9D"/>
    <w:rsid w:val="00277FFE"/>
    <w:rsid w:val="00280AC4"/>
    <w:rsid w:val="002815AF"/>
    <w:rsid w:val="002828A5"/>
    <w:rsid w:val="00285A50"/>
    <w:rsid w:val="0029080B"/>
    <w:rsid w:val="00290BED"/>
    <w:rsid w:val="00292136"/>
    <w:rsid w:val="0029322E"/>
    <w:rsid w:val="002A4544"/>
    <w:rsid w:val="002A53D3"/>
    <w:rsid w:val="002B03A4"/>
    <w:rsid w:val="002B4E2D"/>
    <w:rsid w:val="002B61FB"/>
    <w:rsid w:val="002C097C"/>
    <w:rsid w:val="002C1EEF"/>
    <w:rsid w:val="002C7372"/>
    <w:rsid w:val="002C7AAD"/>
    <w:rsid w:val="002D48CA"/>
    <w:rsid w:val="002D6706"/>
    <w:rsid w:val="002E382E"/>
    <w:rsid w:val="002F5AEC"/>
    <w:rsid w:val="003001E9"/>
    <w:rsid w:val="00305052"/>
    <w:rsid w:val="0031054C"/>
    <w:rsid w:val="00311D3B"/>
    <w:rsid w:val="003121BF"/>
    <w:rsid w:val="00312295"/>
    <w:rsid w:val="0032041A"/>
    <w:rsid w:val="00322B03"/>
    <w:rsid w:val="00325BD8"/>
    <w:rsid w:val="0032776F"/>
    <w:rsid w:val="003315D6"/>
    <w:rsid w:val="003346E2"/>
    <w:rsid w:val="00335F85"/>
    <w:rsid w:val="0033680D"/>
    <w:rsid w:val="00346393"/>
    <w:rsid w:val="00350D41"/>
    <w:rsid w:val="00351F20"/>
    <w:rsid w:val="00352DB9"/>
    <w:rsid w:val="00357FFB"/>
    <w:rsid w:val="003613F5"/>
    <w:rsid w:val="00370544"/>
    <w:rsid w:val="00370AC2"/>
    <w:rsid w:val="0037359A"/>
    <w:rsid w:val="003737E0"/>
    <w:rsid w:val="00375288"/>
    <w:rsid w:val="00375A5B"/>
    <w:rsid w:val="00381395"/>
    <w:rsid w:val="00386B86"/>
    <w:rsid w:val="00386B9A"/>
    <w:rsid w:val="00390351"/>
    <w:rsid w:val="00391FEA"/>
    <w:rsid w:val="00392F9E"/>
    <w:rsid w:val="00393FF5"/>
    <w:rsid w:val="003A1D3D"/>
    <w:rsid w:val="003A3227"/>
    <w:rsid w:val="003A3AC6"/>
    <w:rsid w:val="003A7996"/>
    <w:rsid w:val="003B2918"/>
    <w:rsid w:val="003C1C46"/>
    <w:rsid w:val="003C2527"/>
    <w:rsid w:val="003C425A"/>
    <w:rsid w:val="003D054A"/>
    <w:rsid w:val="003D5DD6"/>
    <w:rsid w:val="003D5EA9"/>
    <w:rsid w:val="003E0CBC"/>
    <w:rsid w:val="003E2112"/>
    <w:rsid w:val="003F4F46"/>
    <w:rsid w:val="003F733C"/>
    <w:rsid w:val="003F7DDE"/>
    <w:rsid w:val="00401858"/>
    <w:rsid w:val="00405EE8"/>
    <w:rsid w:val="00410639"/>
    <w:rsid w:val="004177D0"/>
    <w:rsid w:val="00420946"/>
    <w:rsid w:val="004232C1"/>
    <w:rsid w:val="0042464B"/>
    <w:rsid w:val="00442E74"/>
    <w:rsid w:val="004434BE"/>
    <w:rsid w:val="00443CA5"/>
    <w:rsid w:val="004547A0"/>
    <w:rsid w:val="00455402"/>
    <w:rsid w:val="00455FCE"/>
    <w:rsid w:val="0046169B"/>
    <w:rsid w:val="00471FFE"/>
    <w:rsid w:val="00472409"/>
    <w:rsid w:val="00476535"/>
    <w:rsid w:val="00480D77"/>
    <w:rsid w:val="0048337E"/>
    <w:rsid w:val="00493FF7"/>
    <w:rsid w:val="00495D9F"/>
    <w:rsid w:val="00497936"/>
    <w:rsid w:val="00497BE0"/>
    <w:rsid w:val="004A0587"/>
    <w:rsid w:val="004A66C0"/>
    <w:rsid w:val="004A7BAF"/>
    <w:rsid w:val="004B03B1"/>
    <w:rsid w:val="004B180B"/>
    <w:rsid w:val="004B47D4"/>
    <w:rsid w:val="004C1314"/>
    <w:rsid w:val="004C3B0F"/>
    <w:rsid w:val="004C5802"/>
    <w:rsid w:val="004D1557"/>
    <w:rsid w:val="004D16EC"/>
    <w:rsid w:val="004D2D31"/>
    <w:rsid w:val="004D7606"/>
    <w:rsid w:val="004E06CE"/>
    <w:rsid w:val="004E4DFA"/>
    <w:rsid w:val="004F3776"/>
    <w:rsid w:val="004F3B5E"/>
    <w:rsid w:val="004F473A"/>
    <w:rsid w:val="004F5384"/>
    <w:rsid w:val="004F54F6"/>
    <w:rsid w:val="004F6F13"/>
    <w:rsid w:val="004F7EDF"/>
    <w:rsid w:val="00504CAD"/>
    <w:rsid w:val="00512A7A"/>
    <w:rsid w:val="00515F9D"/>
    <w:rsid w:val="0052122C"/>
    <w:rsid w:val="005220F9"/>
    <w:rsid w:val="00524F05"/>
    <w:rsid w:val="00526846"/>
    <w:rsid w:val="00527124"/>
    <w:rsid w:val="005309DB"/>
    <w:rsid w:val="005318CE"/>
    <w:rsid w:val="00532A50"/>
    <w:rsid w:val="00532C05"/>
    <w:rsid w:val="00536026"/>
    <w:rsid w:val="005370EE"/>
    <w:rsid w:val="005378BA"/>
    <w:rsid w:val="00540AA3"/>
    <w:rsid w:val="00543CDF"/>
    <w:rsid w:val="005457B0"/>
    <w:rsid w:val="00552757"/>
    <w:rsid w:val="00552D4F"/>
    <w:rsid w:val="00552FC5"/>
    <w:rsid w:val="00555AE9"/>
    <w:rsid w:val="005578DF"/>
    <w:rsid w:val="00557E29"/>
    <w:rsid w:val="00561021"/>
    <w:rsid w:val="00561493"/>
    <w:rsid w:val="005632E1"/>
    <w:rsid w:val="00565E5C"/>
    <w:rsid w:val="00573C29"/>
    <w:rsid w:val="00574335"/>
    <w:rsid w:val="00576900"/>
    <w:rsid w:val="00581D45"/>
    <w:rsid w:val="00581D64"/>
    <w:rsid w:val="0058582C"/>
    <w:rsid w:val="00591270"/>
    <w:rsid w:val="005929C7"/>
    <w:rsid w:val="00595926"/>
    <w:rsid w:val="005A0C85"/>
    <w:rsid w:val="005A0FD4"/>
    <w:rsid w:val="005A13C3"/>
    <w:rsid w:val="005A4EB8"/>
    <w:rsid w:val="005A6657"/>
    <w:rsid w:val="005B1EFA"/>
    <w:rsid w:val="005B2CDE"/>
    <w:rsid w:val="005B3102"/>
    <w:rsid w:val="005B38B4"/>
    <w:rsid w:val="005B44F6"/>
    <w:rsid w:val="005B5D36"/>
    <w:rsid w:val="005B71C8"/>
    <w:rsid w:val="005C0560"/>
    <w:rsid w:val="005C1404"/>
    <w:rsid w:val="005D3D95"/>
    <w:rsid w:val="005E4A16"/>
    <w:rsid w:val="005E5537"/>
    <w:rsid w:val="005E6AC3"/>
    <w:rsid w:val="005E7065"/>
    <w:rsid w:val="005F6F3C"/>
    <w:rsid w:val="00601A85"/>
    <w:rsid w:val="00606E9E"/>
    <w:rsid w:val="00610B85"/>
    <w:rsid w:val="0061490B"/>
    <w:rsid w:val="006151D4"/>
    <w:rsid w:val="006151DD"/>
    <w:rsid w:val="00616481"/>
    <w:rsid w:val="006260E9"/>
    <w:rsid w:val="00630473"/>
    <w:rsid w:val="0063616E"/>
    <w:rsid w:val="0063620E"/>
    <w:rsid w:val="0064099B"/>
    <w:rsid w:val="00641E38"/>
    <w:rsid w:val="00644CFC"/>
    <w:rsid w:val="0064775C"/>
    <w:rsid w:val="00650A71"/>
    <w:rsid w:val="00651401"/>
    <w:rsid w:val="00654CF1"/>
    <w:rsid w:val="00661550"/>
    <w:rsid w:val="00661AC0"/>
    <w:rsid w:val="00662572"/>
    <w:rsid w:val="00663A34"/>
    <w:rsid w:val="006659B8"/>
    <w:rsid w:val="00667280"/>
    <w:rsid w:val="00667951"/>
    <w:rsid w:val="00672EAC"/>
    <w:rsid w:val="0067767F"/>
    <w:rsid w:val="00680DDC"/>
    <w:rsid w:val="006827D3"/>
    <w:rsid w:val="00693576"/>
    <w:rsid w:val="0069436D"/>
    <w:rsid w:val="00694EB0"/>
    <w:rsid w:val="00695172"/>
    <w:rsid w:val="00695F7B"/>
    <w:rsid w:val="00697654"/>
    <w:rsid w:val="006A11E9"/>
    <w:rsid w:val="006A27C0"/>
    <w:rsid w:val="006A3083"/>
    <w:rsid w:val="006A6669"/>
    <w:rsid w:val="006B0D2C"/>
    <w:rsid w:val="006B304C"/>
    <w:rsid w:val="006C36C9"/>
    <w:rsid w:val="006C3C50"/>
    <w:rsid w:val="006C4834"/>
    <w:rsid w:val="006C4F1B"/>
    <w:rsid w:val="006C57D5"/>
    <w:rsid w:val="006C7234"/>
    <w:rsid w:val="006D06D2"/>
    <w:rsid w:val="006D2BA0"/>
    <w:rsid w:val="006D3135"/>
    <w:rsid w:val="006D5345"/>
    <w:rsid w:val="006D6CFF"/>
    <w:rsid w:val="006D739B"/>
    <w:rsid w:val="006E0E74"/>
    <w:rsid w:val="006E3D4D"/>
    <w:rsid w:val="006E461A"/>
    <w:rsid w:val="006E5A8B"/>
    <w:rsid w:val="006E5EDF"/>
    <w:rsid w:val="00702D5B"/>
    <w:rsid w:val="007059A2"/>
    <w:rsid w:val="007066B7"/>
    <w:rsid w:val="00713561"/>
    <w:rsid w:val="0071408C"/>
    <w:rsid w:val="0071453F"/>
    <w:rsid w:val="00714D21"/>
    <w:rsid w:val="007160DC"/>
    <w:rsid w:val="00716338"/>
    <w:rsid w:val="00717C22"/>
    <w:rsid w:val="00722FDA"/>
    <w:rsid w:val="007271C2"/>
    <w:rsid w:val="00730CB0"/>
    <w:rsid w:val="00731373"/>
    <w:rsid w:val="0073400C"/>
    <w:rsid w:val="00735138"/>
    <w:rsid w:val="00743DF7"/>
    <w:rsid w:val="00744DF4"/>
    <w:rsid w:val="00745E54"/>
    <w:rsid w:val="00750246"/>
    <w:rsid w:val="00751C79"/>
    <w:rsid w:val="00752782"/>
    <w:rsid w:val="007556E6"/>
    <w:rsid w:val="0076680F"/>
    <w:rsid w:val="00770B77"/>
    <w:rsid w:val="007717D6"/>
    <w:rsid w:val="007729A8"/>
    <w:rsid w:val="00774187"/>
    <w:rsid w:val="0078103C"/>
    <w:rsid w:val="007811A2"/>
    <w:rsid w:val="0078260C"/>
    <w:rsid w:val="007871FA"/>
    <w:rsid w:val="00792B4C"/>
    <w:rsid w:val="007960A9"/>
    <w:rsid w:val="00796DB4"/>
    <w:rsid w:val="007971D4"/>
    <w:rsid w:val="007A4134"/>
    <w:rsid w:val="007B0E95"/>
    <w:rsid w:val="007B20D8"/>
    <w:rsid w:val="007B2A3B"/>
    <w:rsid w:val="007B62D0"/>
    <w:rsid w:val="007B631B"/>
    <w:rsid w:val="007B6A0A"/>
    <w:rsid w:val="007B7311"/>
    <w:rsid w:val="007C574E"/>
    <w:rsid w:val="007C746D"/>
    <w:rsid w:val="007D0627"/>
    <w:rsid w:val="007D4CAC"/>
    <w:rsid w:val="007D561D"/>
    <w:rsid w:val="007D79D5"/>
    <w:rsid w:val="007E219A"/>
    <w:rsid w:val="007E2B9C"/>
    <w:rsid w:val="007F2505"/>
    <w:rsid w:val="007F5B71"/>
    <w:rsid w:val="008022A2"/>
    <w:rsid w:val="008041AD"/>
    <w:rsid w:val="00804AE7"/>
    <w:rsid w:val="00806D31"/>
    <w:rsid w:val="008071A8"/>
    <w:rsid w:val="00810468"/>
    <w:rsid w:val="00812E0D"/>
    <w:rsid w:val="00813E48"/>
    <w:rsid w:val="00823270"/>
    <w:rsid w:val="00826CB8"/>
    <w:rsid w:val="0083209D"/>
    <w:rsid w:val="00834709"/>
    <w:rsid w:val="008513F1"/>
    <w:rsid w:val="00851533"/>
    <w:rsid w:val="008549B8"/>
    <w:rsid w:val="00857A11"/>
    <w:rsid w:val="00873D4D"/>
    <w:rsid w:val="0087429B"/>
    <w:rsid w:val="008771D6"/>
    <w:rsid w:val="0088359F"/>
    <w:rsid w:val="0088772A"/>
    <w:rsid w:val="00891651"/>
    <w:rsid w:val="008945B3"/>
    <w:rsid w:val="00897322"/>
    <w:rsid w:val="008A155E"/>
    <w:rsid w:val="008A23C1"/>
    <w:rsid w:val="008A3D93"/>
    <w:rsid w:val="008A5048"/>
    <w:rsid w:val="008B53C2"/>
    <w:rsid w:val="008C1340"/>
    <w:rsid w:val="008C1C68"/>
    <w:rsid w:val="008C1FFF"/>
    <w:rsid w:val="008C2505"/>
    <w:rsid w:val="008C3866"/>
    <w:rsid w:val="008D1934"/>
    <w:rsid w:val="008D37A1"/>
    <w:rsid w:val="008D6726"/>
    <w:rsid w:val="008E0067"/>
    <w:rsid w:val="008E4864"/>
    <w:rsid w:val="008E624C"/>
    <w:rsid w:val="008F03BE"/>
    <w:rsid w:val="008F084F"/>
    <w:rsid w:val="008F4CBD"/>
    <w:rsid w:val="008F4E5D"/>
    <w:rsid w:val="008F70B1"/>
    <w:rsid w:val="008F76FE"/>
    <w:rsid w:val="00905E85"/>
    <w:rsid w:val="0090731B"/>
    <w:rsid w:val="00915DC9"/>
    <w:rsid w:val="00923811"/>
    <w:rsid w:val="00927182"/>
    <w:rsid w:val="0093206E"/>
    <w:rsid w:val="009330D5"/>
    <w:rsid w:val="00941306"/>
    <w:rsid w:val="009452D3"/>
    <w:rsid w:val="00945EA8"/>
    <w:rsid w:val="00945EB4"/>
    <w:rsid w:val="00945FF5"/>
    <w:rsid w:val="00946A20"/>
    <w:rsid w:val="00946BF7"/>
    <w:rsid w:val="009478E4"/>
    <w:rsid w:val="00947CFB"/>
    <w:rsid w:val="00950250"/>
    <w:rsid w:val="00951FB6"/>
    <w:rsid w:val="009532E0"/>
    <w:rsid w:val="00956284"/>
    <w:rsid w:val="0095682E"/>
    <w:rsid w:val="00957348"/>
    <w:rsid w:val="009579C5"/>
    <w:rsid w:val="00961F54"/>
    <w:rsid w:val="00965FAF"/>
    <w:rsid w:val="00971787"/>
    <w:rsid w:val="00972508"/>
    <w:rsid w:val="009732F8"/>
    <w:rsid w:val="00976D90"/>
    <w:rsid w:val="009777C6"/>
    <w:rsid w:val="00980752"/>
    <w:rsid w:val="00984087"/>
    <w:rsid w:val="0098504A"/>
    <w:rsid w:val="00990377"/>
    <w:rsid w:val="00992C7C"/>
    <w:rsid w:val="00992CD3"/>
    <w:rsid w:val="009B02DE"/>
    <w:rsid w:val="009B0757"/>
    <w:rsid w:val="009B0C63"/>
    <w:rsid w:val="009C1F1E"/>
    <w:rsid w:val="009C20BF"/>
    <w:rsid w:val="009C24C5"/>
    <w:rsid w:val="009C4D91"/>
    <w:rsid w:val="009C4E65"/>
    <w:rsid w:val="009C6E23"/>
    <w:rsid w:val="009D2951"/>
    <w:rsid w:val="009D533F"/>
    <w:rsid w:val="009D6A95"/>
    <w:rsid w:val="009E160E"/>
    <w:rsid w:val="009E2417"/>
    <w:rsid w:val="009E2CB0"/>
    <w:rsid w:val="009F0519"/>
    <w:rsid w:val="009F187B"/>
    <w:rsid w:val="009F19E1"/>
    <w:rsid w:val="009F4F01"/>
    <w:rsid w:val="009F5264"/>
    <w:rsid w:val="00A0472E"/>
    <w:rsid w:val="00A07566"/>
    <w:rsid w:val="00A10FE2"/>
    <w:rsid w:val="00A1287F"/>
    <w:rsid w:val="00A13FB4"/>
    <w:rsid w:val="00A140AB"/>
    <w:rsid w:val="00A20945"/>
    <w:rsid w:val="00A26CC5"/>
    <w:rsid w:val="00A32F55"/>
    <w:rsid w:val="00A36D5C"/>
    <w:rsid w:val="00A46FFB"/>
    <w:rsid w:val="00A503E1"/>
    <w:rsid w:val="00A50AC1"/>
    <w:rsid w:val="00A51490"/>
    <w:rsid w:val="00A52791"/>
    <w:rsid w:val="00A53749"/>
    <w:rsid w:val="00A54926"/>
    <w:rsid w:val="00A6423B"/>
    <w:rsid w:val="00A66D32"/>
    <w:rsid w:val="00A702F5"/>
    <w:rsid w:val="00A7128F"/>
    <w:rsid w:val="00A77407"/>
    <w:rsid w:val="00A81127"/>
    <w:rsid w:val="00A82EC8"/>
    <w:rsid w:val="00A92917"/>
    <w:rsid w:val="00AA01FB"/>
    <w:rsid w:val="00AA36A7"/>
    <w:rsid w:val="00AA5ABC"/>
    <w:rsid w:val="00AB112C"/>
    <w:rsid w:val="00AB2CFC"/>
    <w:rsid w:val="00AB3CCF"/>
    <w:rsid w:val="00AB3DAF"/>
    <w:rsid w:val="00AB4105"/>
    <w:rsid w:val="00AB6F87"/>
    <w:rsid w:val="00AC1389"/>
    <w:rsid w:val="00AC2C2E"/>
    <w:rsid w:val="00AD0EA3"/>
    <w:rsid w:val="00AD1EDD"/>
    <w:rsid w:val="00AD465C"/>
    <w:rsid w:val="00AD4746"/>
    <w:rsid w:val="00AD777B"/>
    <w:rsid w:val="00AE1807"/>
    <w:rsid w:val="00AF323B"/>
    <w:rsid w:val="00AF4CA0"/>
    <w:rsid w:val="00B02FD8"/>
    <w:rsid w:val="00B04DC4"/>
    <w:rsid w:val="00B07E6C"/>
    <w:rsid w:val="00B10172"/>
    <w:rsid w:val="00B11E8B"/>
    <w:rsid w:val="00B120D0"/>
    <w:rsid w:val="00B12583"/>
    <w:rsid w:val="00B2014C"/>
    <w:rsid w:val="00B21D44"/>
    <w:rsid w:val="00B2424F"/>
    <w:rsid w:val="00B31419"/>
    <w:rsid w:val="00B31832"/>
    <w:rsid w:val="00B3211F"/>
    <w:rsid w:val="00B32C8B"/>
    <w:rsid w:val="00B35E08"/>
    <w:rsid w:val="00B41ACD"/>
    <w:rsid w:val="00B50BD3"/>
    <w:rsid w:val="00B5266B"/>
    <w:rsid w:val="00B5474A"/>
    <w:rsid w:val="00B54F92"/>
    <w:rsid w:val="00B55602"/>
    <w:rsid w:val="00B55B8C"/>
    <w:rsid w:val="00B5657A"/>
    <w:rsid w:val="00B56719"/>
    <w:rsid w:val="00B61B01"/>
    <w:rsid w:val="00B6425D"/>
    <w:rsid w:val="00B65531"/>
    <w:rsid w:val="00B656D2"/>
    <w:rsid w:val="00B6773E"/>
    <w:rsid w:val="00B67AC5"/>
    <w:rsid w:val="00B7536B"/>
    <w:rsid w:val="00B759ED"/>
    <w:rsid w:val="00B75BBC"/>
    <w:rsid w:val="00B76390"/>
    <w:rsid w:val="00B77EE0"/>
    <w:rsid w:val="00B84E55"/>
    <w:rsid w:val="00B9113B"/>
    <w:rsid w:val="00B930D7"/>
    <w:rsid w:val="00B93163"/>
    <w:rsid w:val="00B93799"/>
    <w:rsid w:val="00B95AC9"/>
    <w:rsid w:val="00B96A09"/>
    <w:rsid w:val="00B975CA"/>
    <w:rsid w:val="00B97F18"/>
    <w:rsid w:val="00BA0DD5"/>
    <w:rsid w:val="00BA1B96"/>
    <w:rsid w:val="00BA3C64"/>
    <w:rsid w:val="00BB12AD"/>
    <w:rsid w:val="00BB27EF"/>
    <w:rsid w:val="00BB3BB5"/>
    <w:rsid w:val="00BC1156"/>
    <w:rsid w:val="00BC1EE9"/>
    <w:rsid w:val="00BC409C"/>
    <w:rsid w:val="00BC6FE0"/>
    <w:rsid w:val="00BC77E9"/>
    <w:rsid w:val="00BD3072"/>
    <w:rsid w:val="00BD406E"/>
    <w:rsid w:val="00BD5565"/>
    <w:rsid w:val="00BE1D5B"/>
    <w:rsid w:val="00BE77D9"/>
    <w:rsid w:val="00BF2F82"/>
    <w:rsid w:val="00BF3BDE"/>
    <w:rsid w:val="00BF3F08"/>
    <w:rsid w:val="00BF5547"/>
    <w:rsid w:val="00BF5BB5"/>
    <w:rsid w:val="00C01178"/>
    <w:rsid w:val="00C0341A"/>
    <w:rsid w:val="00C07F39"/>
    <w:rsid w:val="00C13326"/>
    <w:rsid w:val="00C1568D"/>
    <w:rsid w:val="00C16CA2"/>
    <w:rsid w:val="00C221AF"/>
    <w:rsid w:val="00C22D61"/>
    <w:rsid w:val="00C24573"/>
    <w:rsid w:val="00C25E57"/>
    <w:rsid w:val="00C3068B"/>
    <w:rsid w:val="00C314EA"/>
    <w:rsid w:val="00C31D38"/>
    <w:rsid w:val="00C427AA"/>
    <w:rsid w:val="00C547FF"/>
    <w:rsid w:val="00C55754"/>
    <w:rsid w:val="00C56395"/>
    <w:rsid w:val="00C60636"/>
    <w:rsid w:val="00C640F1"/>
    <w:rsid w:val="00C72A2B"/>
    <w:rsid w:val="00C7478C"/>
    <w:rsid w:val="00C7490A"/>
    <w:rsid w:val="00C76471"/>
    <w:rsid w:val="00C76A54"/>
    <w:rsid w:val="00C77992"/>
    <w:rsid w:val="00C84808"/>
    <w:rsid w:val="00C85455"/>
    <w:rsid w:val="00C858C8"/>
    <w:rsid w:val="00C869F6"/>
    <w:rsid w:val="00C87E98"/>
    <w:rsid w:val="00C9155F"/>
    <w:rsid w:val="00C95E4C"/>
    <w:rsid w:val="00CA07C2"/>
    <w:rsid w:val="00CA103D"/>
    <w:rsid w:val="00CA6163"/>
    <w:rsid w:val="00CB372C"/>
    <w:rsid w:val="00CB3DBC"/>
    <w:rsid w:val="00CC4435"/>
    <w:rsid w:val="00CD16D7"/>
    <w:rsid w:val="00CD40FE"/>
    <w:rsid w:val="00CD4893"/>
    <w:rsid w:val="00CD6503"/>
    <w:rsid w:val="00CE0A8A"/>
    <w:rsid w:val="00CE1D6F"/>
    <w:rsid w:val="00CE44B5"/>
    <w:rsid w:val="00CE4780"/>
    <w:rsid w:val="00CE51BE"/>
    <w:rsid w:val="00CE63E7"/>
    <w:rsid w:val="00CE6575"/>
    <w:rsid w:val="00CF6722"/>
    <w:rsid w:val="00CF6764"/>
    <w:rsid w:val="00CF6C51"/>
    <w:rsid w:val="00CF7426"/>
    <w:rsid w:val="00D01853"/>
    <w:rsid w:val="00D142E9"/>
    <w:rsid w:val="00D16D49"/>
    <w:rsid w:val="00D207D2"/>
    <w:rsid w:val="00D22E6D"/>
    <w:rsid w:val="00D2568A"/>
    <w:rsid w:val="00D313CC"/>
    <w:rsid w:val="00D31736"/>
    <w:rsid w:val="00D32FAA"/>
    <w:rsid w:val="00D35B85"/>
    <w:rsid w:val="00D362BD"/>
    <w:rsid w:val="00D36746"/>
    <w:rsid w:val="00D40011"/>
    <w:rsid w:val="00D457C8"/>
    <w:rsid w:val="00D519DA"/>
    <w:rsid w:val="00D52217"/>
    <w:rsid w:val="00D5293A"/>
    <w:rsid w:val="00D529B0"/>
    <w:rsid w:val="00D5395B"/>
    <w:rsid w:val="00D55327"/>
    <w:rsid w:val="00D55932"/>
    <w:rsid w:val="00D62008"/>
    <w:rsid w:val="00D67232"/>
    <w:rsid w:val="00D760F8"/>
    <w:rsid w:val="00D80618"/>
    <w:rsid w:val="00D813F3"/>
    <w:rsid w:val="00D8648E"/>
    <w:rsid w:val="00D90DFA"/>
    <w:rsid w:val="00D91181"/>
    <w:rsid w:val="00D91BC0"/>
    <w:rsid w:val="00D95D4E"/>
    <w:rsid w:val="00DA2BBF"/>
    <w:rsid w:val="00DA408C"/>
    <w:rsid w:val="00DA6432"/>
    <w:rsid w:val="00DA77EB"/>
    <w:rsid w:val="00DA7A7A"/>
    <w:rsid w:val="00DB5FB4"/>
    <w:rsid w:val="00DC1883"/>
    <w:rsid w:val="00DC2350"/>
    <w:rsid w:val="00DC36BB"/>
    <w:rsid w:val="00DD0742"/>
    <w:rsid w:val="00DD56EB"/>
    <w:rsid w:val="00DE15DC"/>
    <w:rsid w:val="00DE321D"/>
    <w:rsid w:val="00DE4A87"/>
    <w:rsid w:val="00DE776A"/>
    <w:rsid w:val="00DF123D"/>
    <w:rsid w:val="00DF209C"/>
    <w:rsid w:val="00DF4749"/>
    <w:rsid w:val="00DF7829"/>
    <w:rsid w:val="00E02CAD"/>
    <w:rsid w:val="00E02D80"/>
    <w:rsid w:val="00E06133"/>
    <w:rsid w:val="00E13A6A"/>
    <w:rsid w:val="00E15687"/>
    <w:rsid w:val="00E16F22"/>
    <w:rsid w:val="00E232B9"/>
    <w:rsid w:val="00E24CD1"/>
    <w:rsid w:val="00E260CA"/>
    <w:rsid w:val="00E31149"/>
    <w:rsid w:val="00E3457D"/>
    <w:rsid w:val="00E35B88"/>
    <w:rsid w:val="00E37441"/>
    <w:rsid w:val="00E459F8"/>
    <w:rsid w:val="00E47204"/>
    <w:rsid w:val="00E53F92"/>
    <w:rsid w:val="00E55D1B"/>
    <w:rsid w:val="00E55EFA"/>
    <w:rsid w:val="00E5738D"/>
    <w:rsid w:val="00E62E76"/>
    <w:rsid w:val="00E63BB5"/>
    <w:rsid w:val="00E65EE1"/>
    <w:rsid w:val="00E67259"/>
    <w:rsid w:val="00E72240"/>
    <w:rsid w:val="00E8487D"/>
    <w:rsid w:val="00E85E67"/>
    <w:rsid w:val="00E87AF8"/>
    <w:rsid w:val="00E94120"/>
    <w:rsid w:val="00E943F3"/>
    <w:rsid w:val="00E94C6F"/>
    <w:rsid w:val="00EA54F8"/>
    <w:rsid w:val="00EA6C83"/>
    <w:rsid w:val="00EB59C5"/>
    <w:rsid w:val="00EB6AA2"/>
    <w:rsid w:val="00EB7CFA"/>
    <w:rsid w:val="00EC0072"/>
    <w:rsid w:val="00EC27D4"/>
    <w:rsid w:val="00ED0934"/>
    <w:rsid w:val="00ED4639"/>
    <w:rsid w:val="00ED4759"/>
    <w:rsid w:val="00EE0923"/>
    <w:rsid w:val="00EE32CD"/>
    <w:rsid w:val="00EE51C7"/>
    <w:rsid w:val="00EE5C10"/>
    <w:rsid w:val="00EE6269"/>
    <w:rsid w:val="00EE6475"/>
    <w:rsid w:val="00EF1B48"/>
    <w:rsid w:val="00EF28D2"/>
    <w:rsid w:val="00EF30CB"/>
    <w:rsid w:val="00EF6863"/>
    <w:rsid w:val="00EF6C98"/>
    <w:rsid w:val="00F024A4"/>
    <w:rsid w:val="00F0444D"/>
    <w:rsid w:val="00F04C32"/>
    <w:rsid w:val="00F063DC"/>
    <w:rsid w:val="00F07E16"/>
    <w:rsid w:val="00F1320F"/>
    <w:rsid w:val="00F179B4"/>
    <w:rsid w:val="00F22CDD"/>
    <w:rsid w:val="00F26661"/>
    <w:rsid w:val="00F30862"/>
    <w:rsid w:val="00F326E7"/>
    <w:rsid w:val="00F4293C"/>
    <w:rsid w:val="00F4422D"/>
    <w:rsid w:val="00F46A6C"/>
    <w:rsid w:val="00F513BC"/>
    <w:rsid w:val="00F52C65"/>
    <w:rsid w:val="00F5342D"/>
    <w:rsid w:val="00F54335"/>
    <w:rsid w:val="00F55931"/>
    <w:rsid w:val="00F5628A"/>
    <w:rsid w:val="00F56451"/>
    <w:rsid w:val="00F6720F"/>
    <w:rsid w:val="00F70C26"/>
    <w:rsid w:val="00F7200C"/>
    <w:rsid w:val="00F7449D"/>
    <w:rsid w:val="00F837CD"/>
    <w:rsid w:val="00F84707"/>
    <w:rsid w:val="00F87604"/>
    <w:rsid w:val="00F9585F"/>
    <w:rsid w:val="00FA1777"/>
    <w:rsid w:val="00FA2CB0"/>
    <w:rsid w:val="00FA42B5"/>
    <w:rsid w:val="00FB0B6A"/>
    <w:rsid w:val="00FB269D"/>
    <w:rsid w:val="00FB2912"/>
    <w:rsid w:val="00FB5C05"/>
    <w:rsid w:val="00FC34D9"/>
    <w:rsid w:val="00FC7182"/>
    <w:rsid w:val="00FC759F"/>
    <w:rsid w:val="00FD1B09"/>
    <w:rsid w:val="00FD3B00"/>
    <w:rsid w:val="00FD4C7C"/>
    <w:rsid w:val="00FD5CB0"/>
    <w:rsid w:val="00FE1BF1"/>
    <w:rsid w:val="00FE2656"/>
    <w:rsid w:val="00FF08F2"/>
    <w:rsid w:val="00FF2D34"/>
    <w:rsid w:val="00FF6402"/>
    <w:rsid w:val="0430C17B"/>
    <w:rsid w:val="04BD4016"/>
    <w:rsid w:val="04F67DF1"/>
    <w:rsid w:val="05CC91DC"/>
    <w:rsid w:val="0A59CF7A"/>
    <w:rsid w:val="12EA38E5"/>
    <w:rsid w:val="14AC42AD"/>
    <w:rsid w:val="16BC3500"/>
    <w:rsid w:val="1763899C"/>
    <w:rsid w:val="1B88B15E"/>
    <w:rsid w:val="1C892820"/>
    <w:rsid w:val="2163597D"/>
    <w:rsid w:val="279BA306"/>
    <w:rsid w:val="2CFD068F"/>
    <w:rsid w:val="2D630F3B"/>
    <w:rsid w:val="3072E395"/>
    <w:rsid w:val="34920AD3"/>
    <w:rsid w:val="3B1BAD12"/>
    <w:rsid w:val="3C25DF05"/>
    <w:rsid w:val="3C49A8B1"/>
    <w:rsid w:val="3CC17E29"/>
    <w:rsid w:val="3D5AE38E"/>
    <w:rsid w:val="40B3E892"/>
    <w:rsid w:val="43F46B45"/>
    <w:rsid w:val="4C640029"/>
    <w:rsid w:val="4C6EA41D"/>
    <w:rsid w:val="4DCE3463"/>
    <w:rsid w:val="5207ABC1"/>
    <w:rsid w:val="5D4A2C04"/>
    <w:rsid w:val="601D567A"/>
    <w:rsid w:val="6044901F"/>
    <w:rsid w:val="6156E972"/>
    <w:rsid w:val="66850DB9"/>
    <w:rsid w:val="6C76E825"/>
    <w:rsid w:val="71DEF56D"/>
    <w:rsid w:val="7E05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3F16DF"/>
  <w14:defaultImageDpi w14:val="300"/>
  <w15:docId w15:val="{82739A7C-6D5B-47F5-A91C-15A1111D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0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50032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38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38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738D"/>
  </w:style>
  <w:style w:type="paragraph" w:styleId="Footer">
    <w:name w:val="footer"/>
    <w:basedOn w:val="Normal"/>
    <w:link w:val="FooterChar"/>
    <w:uiPriority w:val="99"/>
    <w:unhideWhenUsed/>
    <w:rsid w:val="00E573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738D"/>
  </w:style>
  <w:style w:type="character" w:styleId="Hyperlink">
    <w:name w:val="Hyperlink"/>
    <w:basedOn w:val="DefaultParagraphFont"/>
    <w:uiPriority w:val="99"/>
    <w:unhideWhenUsed/>
    <w:rsid w:val="00E5738D"/>
    <w:rPr>
      <w:color w:val="D50032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73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C746D"/>
    <w:rPr>
      <w:color w:val="D5003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D2D31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03D"/>
    <w:rPr>
      <w:rFonts w:asciiTheme="majorHAnsi" w:eastAsiaTheme="majorEastAsia" w:hAnsiTheme="majorHAnsi" w:cstheme="majorBidi"/>
      <w:b/>
      <w:bCs/>
      <w:color w:val="D50032" w:themeColor="accent1"/>
      <w:sz w:val="26"/>
      <w:szCs w:val="26"/>
    </w:rPr>
  </w:style>
  <w:style w:type="table" w:styleId="TableGrid">
    <w:name w:val="Table Grid"/>
    <w:basedOn w:val="TableNormal"/>
    <w:uiPriority w:val="59"/>
    <w:rsid w:val="00826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792B4C"/>
    <w:tblPr>
      <w:tblStyleRowBandSize w:val="1"/>
      <w:tblStyleColBandSize w:val="1"/>
      <w:tblBorders>
        <w:top w:val="single" w:sz="8" w:space="0" w:color="29B5CF" w:themeColor="accent2"/>
        <w:left w:val="single" w:sz="8" w:space="0" w:color="29B5CF" w:themeColor="accent2"/>
        <w:bottom w:val="single" w:sz="8" w:space="0" w:color="29B5CF" w:themeColor="accent2"/>
        <w:right w:val="single" w:sz="8" w:space="0" w:color="29B5C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9B5C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  <w:tblStylePr w:type="band1Horz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</w:style>
  <w:style w:type="table" w:styleId="LightGrid-Accent2">
    <w:name w:val="Light Grid Accent 2"/>
    <w:basedOn w:val="TableNormal"/>
    <w:uiPriority w:val="62"/>
    <w:rsid w:val="00792B4C"/>
    <w:tblPr>
      <w:tblStyleRowBandSize w:val="1"/>
      <w:tblStyleColBandSize w:val="1"/>
      <w:tblBorders>
        <w:top w:val="single" w:sz="8" w:space="0" w:color="29B5CF" w:themeColor="accent2"/>
        <w:left w:val="single" w:sz="8" w:space="0" w:color="29B5CF" w:themeColor="accent2"/>
        <w:bottom w:val="single" w:sz="8" w:space="0" w:color="29B5CF" w:themeColor="accent2"/>
        <w:right w:val="single" w:sz="8" w:space="0" w:color="29B5CF" w:themeColor="accent2"/>
        <w:insideH w:val="single" w:sz="8" w:space="0" w:color="29B5CF" w:themeColor="accent2"/>
        <w:insideV w:val="single" w:sz="8" w:space="0" w:color="29B5C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18" w:space="0" w:color="29B5CF" w:themeColor="accent2"/>
          <w:right w:val="single" w:sz="8" w:space="0" w:color="29B5CF" w:themeColor="accent2"/>
          <w:insideH w:val="nil"/>
          <w:insideV w:val="single" w:sz="8" w:space="0" w:color="29B5C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  <w:insideH w:val="nil"/>
          <w:insideV w:val="single" w:sz="8" w:space="0" w:color="29B5C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</w:tcPr>
    </w:tblStylePr>
    <w:tblStylePr w:type="band1Vert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</w:tcBorders>
        <w:shd w:val="clear" w:color="auto" w:fill="C8EDF4" w:themeFill="accent2" w:themeFillTint="3F"/>
      </w:tcPr>
    </w:tblStylePr>
    <w:tblStylePr w:type="band1Horz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  <w:insideV w:val="single" w:sz="8" w:space="0" w:color="29B5CF" w:themeColor="accent2"/>
        </w:tcBorders>
        <w:shd w:val="clear" w:color="auto" w:fill="C8EDF4" w:themeFill="accent2" w:themeFillTint="3F"/>
      </w:tcPr>
    </w:tblStylePr>
    <w:tblStylePr w:type="band2Horz">
      <w:tblPr/>
      <w:tcPr>
        <w:tcBorders>
          <w:top w:val="single" w:sz="8" w:space="0" w:color="29B5CF" w:themeColor="accent2"/>
          <w:left w:val="single" w:sz="8" w:space="0" w:color="29B5CF" w:themeColor="accent2"/>
          <w:bottom w:val="single" w:sz="8" w:space="0" w:color="29B5CF" w:themeColor="accent2"/>
          <w:right w:val="single" w:sz="8" w:space="0" w:color="29B5CF" w:themeColor="accent2"/>
          <w:insideV w:val="single" w:sz="8" w:space="0" w:color="29B5CF" w:themeColor="accent2"/>
        </w:tcBorders>
      </w:tcPr>
    </w:tblStylePr>
  </w:style>
  <w:style w:type="table" w:styleId="MediumList2">
    <w:name w:val="Medium List 2"/>
    <w:basedOn w:val="TableNormal"/>
    <w:uiPriority w:val="66"/>
    <w:rsid w:val="00792B4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792B4C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792B4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702D5B"/>
    <w:pPr>
      <w:spacing w:after="200"/>
    </w:pPr>
    <w:rPr>
      <w:i/>
      <w:iCs/>
      <w:color w:val="000000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02D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53D3"/>
    <w:pPr>
      <w:spacing w:after="0"/>
    </w:pPr>
  </w:style>
  <w:style w:type="character" w:styleId="CommentReference">
    <w:name w:val="annotation reference"/>
    <w:basedOn w:val="DefaultParagraphFont"/>
    <w:uiPriority w:val="99"/>
    <w:semiHidden/>
    <w:unhideWhenUsed/>
    <w:rsid w:val="00730C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0C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0C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0C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0C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30CB0"/>
    <w:pPr>
      <w:spacing w:after="0"/>
    </w:p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kdknick.us2.list-manage.com/track/click?u=13ebd05ffc936c0e3ce907205&amp;id=43ae8f07c6&amp;e=1039295ccd" TargetMode="External"/><Relationship Id="rId18" Type="http://schemas.openxmlformats.org/officeDocument/2006/relationships/hyperlink" Target="https://www.taxpolicycenter.org/publications/child-tax-credit-recipients-experienced-larger-decline-food-insecurity-and-similar/full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bpp.org/blog/rising-food-and-energy-prices-underscore-the-urgency-of-acting-on-the-child-tax-credit" TargetMode="External"/><Relationship Id="rId17" Type="http://schemas.openxmlformats.org/officeDocument/2006/relationships/hyperlink" Target="https://www.povertycenter.columbia.edu/news-internal/monthly-poverty-january-20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overtycenter.columbia.edu/publication/montly-poverty-december-20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skdknick.us2.list-manage.com/track/click?u=13ebd05ffc936c0e3ce907205&amp;id=24059923d7&amp;e=1039295ccd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cbpp.org/research/federal-tax/if-congress-fails-to-act-monthly-child-tax-credit-payments-will-stop-chil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kdknick.us2.list-manage.com/track/click?u=13ebd05ffc936c0e3ce907205&amp;id=5f01dfcce2&amp;e=1039295ccd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onza\Downloads\2020%20Rebrand%20Action%20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RESULTS Branding">
      <a:dk1>
        <a:sysClr val="windowText" lastClr="000000"/>
      </a:dk1>
      <a:lt1>
        <a:sysClr val="window" lastClr="FFFFFF"/>
      </a:lt1>
      <a:dk2>
        <a:srgbClr val="000000"/>
      </a:dk2>
      <a:lt2>
        <a:srgbClr val="E7E6E6"/>
      </a:lt2>
      <a:accent1>
        <a:srgbClr val="D50032"/>
      </a:accent1>
      <a:accent2>
        <a:srgbClr val="29B5CF"/>
      </a:accent2>
      <a:accent3>
        <a:srgbClr val="FFB81C"/>
      </a:accent3>
      <a:accent4>
        <a:srgbClr val="D50032"/>
      </a:accent4>
      <a:accent5>
        <a:srgbClr val="29B5CF"/>
      </a:accent5>
      <a:accent6>
        <a:srgbClr val="FFB81C"/>
      </a:accent6>
      <a:hlink>
        <a:srgbClr val="D50032"/>
      </a:hlink>
      <a:folHlink>
        <a:srgbClr val="D5003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F2243E6C85A4794611ACAEA088222" ma:contentTypeVersion="12" ma:contentTypeDescription="Create a new document." ma:contentTypeScope="" ma:versionID="2ae2e35b561639a804116eff63996398">
  <xsd:schema xmlns:xsd="http://www.w3.org/2001/XMLSchema" xmlns:xs="http://www.w3.org/2001/XMLSchema" xmlns:p="http://schemas.microsoft.com/office/2006/metadata/properties" xmlns:ns2="ef035fee-706e-4acb-9a43-6ee1a9ecef89" xmlns:ns3="e1541ae8-567d-462c-9e78-c3b0dfdaed9d" targetNamespace="http://schemas.microsoft.com/office/2006/metadata/properties" ma:root="true" ma:fieldsID="b8d69c45f7ee132e03bd064721501db2" ns2:_="" ns3:_="">
    <xsd:import namespace="ef035fee-706e-4acb-9a43-6ee1a9ecef89"/>
    <xsd:import namespace="e1541ae8-567d-462c-9e78-c3b0dfdaed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5fee-706e-4acb-9a43-6ee1a9ecef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41ae8-567d-462c-9e78-c3b0dfdae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8FDB1A-68F1-4956-A6EB-B02E780DC0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6340EC-FF7D-40B2-BD5F-352D272A79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035fee-706e-4acb-9a43-6ee1a9ecef89"/>
    <ds:schemaRef ds:uri="e1541ae8-567d-462c-9e78-c3b0dfdae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F9DDD6-EE74-4374-A666-D261331FAD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E49921-4250-499D-A080-289A91F842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 Rebrand Action Sheet Template</Template>
  <TotalTime>0</TotalTime>
  <Pages>1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 Monza</dc:creator>
  <cp:keywords/>
  <dc:description/>
  <cp:lastModifiedBy>Katie Fleischer</cp:lastModifiedBy>
  <cp:revision>2</cp:revision>
  <cp:lastPrinted>2022-04-07T19:51:00Z</cp:lastPrinted>
  <dcterms:created xsi:type="dcterms:W3CDTF">2022-06-08T19:02:00Z</dcterms:created>
  <dcterms:modified xsi:type="dcterms:W3CDTF">2022-06-08T19:02:00Z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0x010100E1DF2243E6C85A4794611ACAEA088222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