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3A3E" w14:textId="640D36CF" w:rsidR="00A82298" w:rsidRPr="00A82298" w:rsidRDefault="00C77CC6" w:rsidP="00A82298">
      <w:r>
        <w:t>202</w:t>
      </w:r>
      <w:r w:rsidR="003D11DA">
        <w:t>6</w:t>
      </w:r>
      <w:r>
        <w:t xml:space="preserve"> </w:t>
      </w:r>
      <w:r w:rsidR="48F4AA3B">
        <w:t xml:space="preserve">Global </w:t>
      </w:r>
      <w:r w:rsidR="007D3C5C">
        <w:t xml:space="preserve">Poverty </w:t>
      </w:r>
      <w:r>
        <w:t>Laser Talk</w:t>
      </w:r>
    </w:p>
    <w:p w14:paraId="2EA1089F" w14:textId="0A26D230" w:rsidR="007D3C5C" w:rsidRDefault="007D3C5C" w:rsidP="007D3C5C">
      <w:pPr>
        <w:pStyle w:val="Heading1"/>
      </w:pPr>
      <w:r w:rsidRPr="350293B1">
        <w:rPr>
          <w:rStyle w:val="normaltextrun"/>
          <w:rFonts w:cs="Open Sans"/>
        </w:rPr>
        <w:t xml:space="preserve">Please </w:t>
      </w:r>
      <w:r w:rsidR="00A82298" w:rsidRPr="350293B1">
        <w:rPr>
          <w:rStyle w:val="normaltextrun"/>
          <w:rFonts w:cs="Open Sans"/>
        </w:rPr>
        <w:t xml:space="preserve">invest in </w:t>
      </w:r>
      <w:r w:rsidR="47142395" w:rsidRPr="350293B1">
        <w:rPr>
          <w:rStyle w:val="normaltextrun"/>
          <w:rFonts w:cs="Open Sans"/>
        </w:rPr>
        <w:t xml:space="preserve">basic </w:t>
      </w:r>
      <w:r w:rsidR="2F2E4648" w:rsidRPr="350293B1">
        <w:rPr>
          <w:rStyle w:val="normaltextrun"/>
          <w:rFonts w:cs="Open Sans"/>
        </w:rPr>
        <w:t xml:space="preserve">global </w:t>
      </w:r>
      <w:r w:rsidR="59350551" w:rsidRPr="350293B1">
        <w:rPr>
          <w:rStyle w:val="normaltextrun"/>
          <w:rFonts w:cs="Open Sans"/>
        </w:rPr>
        <w:t>education</w:t>
      </w:r>
      <w:r w:rsidR="003D11DA" w:rsidRPr="350293B1">
        <w:rPr>
          <w:rStyle w:val="normaltextrun"/>
          <w:rFonts w:cs="Open Sans"/>
        </w:rPr>
        <w:t xml:space="preserve"> </w:t>
      </w:r>
      <w:r w:rsidR="11562E42" w:rsidRPr="350293B1">
        <w:rPr>
          <w:rStyle w:val="normaltextrun"/>
          <w:rFonts w:cs="Open Sans"/>
        </w:rPr>
        <w:t xml:space="preserve">and GPE </w:t>
      </w:r>
      <w:r w:rsidR="003D11DA" w:rsidRPr="350293B1">
        <w:rPr>
          <w:rStyle w:val="normaltextrun"/>
          <w:rFonts w:cs="Open Sans"/>
        </w:rPr>
        <w:t xml:space="preserve">in </w:t>
      </w:r>
      <w:r w:rsidR="00A82298" w:rsidRPr="350293B1">
        <w:rPr>
          <w:rStyle w:val="normaltextrun"/>
          <w:rFonts w:cs="Open Sans"/>
        </w:rPr>
        <w:t xml:space="preserve">the </w:t>
      </w:r>
      <w:r w:rsidR="003D11DA" w:rsidRPr="350293B1">
        <w:rPr>
          <w:rStyle w:val="normaltextrun"/>
          <w:rFonts w:cs="Open Sans"/>
        </w:rPr>
        <w:t>FY2</w:t>
      </w:r>
      <w:r w:rsidR="00A82298" w:rsidRPr="350293B1">
        <w:rPr>
          <w:rStyle w:val="normaltextrun"/>
          <w:rFonts w:cs="Open Sans"/>
        </w:rPr>
        <w:t>7</w:t>
      </w:r>
      <w:r w:rsidR="003D11DA" w:rsidRPr="350293B1">
        <w:rPr>
          <w:rStyle w:val="normaltextrun"/>
          <w:rFonts w:cs="Open Sans"/>
        </w:rPr>
        <w:t xml:space="preserve"> budget</w:t>
      </w:r>
      <w:r>
        <w:t xml:space="preserve"> 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244"/>
        <w:gridCol w:w="4375"/>
      </w:tblGrid>
      <w:tr w:rsidR="00DC4EF3" w:rsidRPr="00DC4EF3" w14:paraId="263F1F6C" w14:textId="77777777" w:rsidTr="350293B1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1F88" w14:textId="2B8E7A87" w:rsidR="0484F60B" w:rsidRDefault="0484F60B" w:rsidP="350293B1">
            <w:pPr>
              <w:spacing w:after="120" w:line="276" w:lineRule="auto"/>
              <w:ind w:left="75"/>
              <w:rPr>
                <w:rFonts w:eastAsia="Open Sans" w:cs="Open Sans"/>
                <w:color w:val="000000" w:themeColor="text1"/>
                <w:szCs w:val="22"/>
              </w:rPr>
            </w:pPr>
            <w:r w:rsidRPr="350293B1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 xml:space="preserve">Engage: </w:t>
            </w:r>
            <w:r w:rsidR="36427A59" w:rsidRPr="350293B1">
              <w:rPr>
                <w:rFonts w:eastAsia="Open Sans" w:cs="Open Sans"/>
                <w:color w:val="000000" w:themeColor="text1"/>
                <w:szCs w:val="22"/>
              </w:rPr>
              <w:t>Over the past decades, the world has made incredible strides in improving access to education.  The results of this commitment are clear: more kids than ever</w:t>
            </w:r>
            <w:r w:rsidR="00003D3F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36427A59" w:rsidRPr="350293B1">
              <w:rPr>
                <w:rFonts w:eastAsia="Open Sans" w:cs="Open Sans"/>
                <w:color w:val="000000" w:themeColor="text1"/>
                <w:szCs w:val="22"/>
              </w:rPr>
              <w:t>are getting the basic education they deserve.</w:t>
            </w:r>
          </w:p>
          <w:p w14:paraId="5C92F315" w14:textId="68507EA1" w:rsidR="0484F60B" w:rsidRDefault="0484F60B" w:rsidP="350293B1">
            <w:pPr>
              <w:spacing w:after="120" w:line="276" w:lineRule="auto"/>
              <w:ind w:left="75"/>
              <w:rPr>
                <w:rFonts w:eastAsia="Open Sans" w:cs="Open Sans"/>
                <w:color w:val="000000" w:themeColor="text1"/>
                <w:szCs w:val="22"/>
              </w:rPr>
            </w:pPr>
            <w:r w:rsidRPr="350293B1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>Problem</w:t>
            </w:r>
            <w:proofErr w:type="gramStart"/>
            <w:r w:rsidRPr="350293B1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 xml:space="preserve">:  </w:t>
            </w:r>
            <w:r w:rsidR="5368EAC6" w:rsidRPr="350293B1">
              <w:rPr>
                <w:rFonts w:eastAsia="Open Sans" w:cs="Open Sans"/>
                <w:color w:val="000000" w:themeColor="text1"/>
                <w:szCs w:val="22"/>
              </w:rPr>
              <w:t>O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>ver</w:t>
            </w:r>
            <w:proofErr w:type="gramEnd"/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 xml:space="preserve"> 270 million children are out of school, and access to school alone does not equal learning. Too many children </w:t>
            </w:r>
            <w:proofErr w:type="gramStart"/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>are not able to</w:t>
            </w:r>
            <w:proofErr w:type="gramEnd"/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 xml:space="preserve"> access </w:t>
            </w:r>
            <w:r w:rsidR="06C7019D" w:rsidRPr="350293B1">
              <w:rPr>
                <w:rFonts w:eastAsia="Open Sans" w:cs="Open Sans"/>
                <w:color w:val="000000" w:themeColor="text1"/>
                <w:szCs w:val="22"/>
              </w:rPr>
              <w:t xml:space="preserve">foundational literacy </w:t>
            </w:r>
            <w:r w:rsidR="71934959" w:rsidRPr="350293B1">
              <w:rPr>
                <w:rFonts w:eastAsia="Open Sans" w:cs="Open Sans"/>
                <w:color w:val="000000" w:themeColor="text1"/>
                <w:szCs w:val="22"/>
              </w:rPr>
              <w:t>skills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>. As a result, 70</w:t>
            </w:r>
            <w:r w:rsidR="5EADAE0B" w:rsidRPr="350293B1">
              <w:rPr>
                <w:rFonts w:eastAsia="Open Sans" w:cs="Open Sans"/>
                <w:color w:val="000000" w:themeColor="text1"/>
                <w:szCs w:val="22"/>
              </w:rPr>
              <w:t>%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 xml:space="preserve"> of 10-year-olds in low- and middle-income countries are unable to read and understand a simple story.</w:t>
            </w:r>
            <w:r w:rsidR="422BFCF9" w:rsidRPr="350293B1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60AD7470" w:rsidRPr="350293B1">
              <w:rPr>
                <w:rFonts w:eastAsia="Open Sans" w:cs="Open Sans"/>
                <w:color w:val="000000" w:themeColor="text1"/>
                <w:szCs w:val="22"/>
              </w:rPr>
              <w:t>T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>h</w:t>
            </w:r>
            <w:r w:rsidR="0598682C" w:rsidRPr="350293B1">
              <w:rPr>
                <w:rFonts w:eastAsia="Open Sans" w:cs="Open Sans"/>
                <w:color w:val="000000" w:themeColor="text1"/>
                <w:szCs w:val="22"/>
              </w:rPr>
              <w:t>is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 xml:space="preserve"> learning crisis costs the global economy $3.3 trillion </w:t>
            </w:r>
            <w:r w:rsidR="7B22266E" w:rsidRPr="350293B1">
              <w:rPr>
                <w:rFonts w:eastAsia="Open Sans" w:cs="Open Sans"/>
                <w:color w:val="000000" w:themeColor="text1"/>
                <w:szCs w:val="22"/>
              </w:rPr>
              <w:t xml:space="preserve">annually </w:t>
            </w:r>
            <w:r w:rsidR="15593412" w:rsidRPr="350293B1">
              <w:rPr>
                <w:rFonts w:eastAsia="Open Sans" w:cs="Open Sans"/>
                <w:color w:val="000000" w:themeColor="text1"/>
                <w:szCs w:val="22"/>
              </w:rPr>
              <w:t xml:space="preserve">in lost productivity. </w:t>
            </w:r>
          </w:p>
          <w:p w14:paraId="2EB072F5" w14:textId="4059D47B" w:rsidR="2136030B" w:rsidRDefault="2136030B" w:rsidP="350293B1">
            <w:pPr>
              <w:spacing w:after="120" w:line="276" w:lineRule="auto"/>
              <w:ind w:left="75"/>
              <w:rPr>
                <w:rFonts w:eastAsia="Open Sans" w:cs="Open Sans"/>
                <w:szCs w:val="22"/>
              </w:rPr>
            </w:pPr>
            <w:r w:rsidRPr="350293B1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 xml:space="preserve">Inform: </w:t>
            </w:r>
            <w:r w:rsidR="3705EF88" w:rsidRPr="350293B1">
              <w:rPr>
                <w:rFonts w:eastAsia="Open Sans" w:cs="Open Sans"/>
                <w:color w:val="000000" w:themeColor="text1"/>
                <w:szCs w:val="22"/>
              </w:rPr>
              <w:t xml:space="preserve">An entire generation is at risk, but this crisis is preventable. </w:t>
            </w:r>
            <w:r w:rsidR="0C2B201E" w:rsidRPr="350293B1">
              <w:rPr>
                <w:rFonts w:eastAsia="Open Sans" w:cs="Open Sans"/>
                <w:color w:val="000000" w:themeColor="text1"/>
                <w:szCs w:val="22"/>
              </w:rPr>
              <w:t xml:space="preserve">Congress can play a key role by funding bilateral basic education programs that reached 44 million students in FY23 alone. The Global Partnership for Education (GPE) </w:t>
            </w:r>
            <w:r w:rsidR="4B554C32" w:rsidRPr="350293B1">
              <w:rPr>
                <w:rFonts w:eastAsia="Open Sans" w:cs="Open Sans"/>
                <w:color w:val="000000" w:themeColor="text1"/>
                <w:szCs w:val="22"/>
              </w:rPr>
              <w:t xml:space="preserve">supported over 370 million students since 2021, and plans to reach 750 million more in the next 5 years. </w:t>
            </w:r>
            <w:r w:rsidR="4B554C32" w:rsidRPr="350293B1">
              <w:rPr>
                <w:rFonts w:eastAsia="Open Sans" w:cs="Open Sans"/>
                <w:szCs w:val="22"/>
              </w:rPr>
              <w:t xml:space="preserve">Each extra school year completed increases future wages by 10%, </w:t>
            </w:r>
            <w:r w:rsidR="7EEE5234" w:rsidRPr="350293B1">
              <w:rPr>
                <w:rFonts w:eastAsia="Open Sans" w:cs="Open Sans"/>
                <w:szCs w:val="22"/>
              </w:rPr>
              <w:t xml:space="preserve">improving economic growth and stability along with children’s futures. </w:t>
            </w:r>
          </w:p>
          <w:p w14:paraId="39791B9A" w14:textId="7603AE3E" w:rsidR="00DC4EF3" w:rsidRPr="00DC4EF3" w:rsidRDefault="6360D5AE" w:rsidP="350293B1">
            <w:pPr>
              <w:spacing w:after="120" w:line="276" w:lineRule="auto"/>
              <w:ind w:left="75"/>
              <w:textAlignment w:val="baseline"/>
              <w:rPr>
                <w:rFonts w:eastAsia="Open Sans" w:cs="Open Sans"/>
                <w:color w:val="000000" w:themeColor="text1"/>
              </w:rPr>
            </w:pPr>
            <w:r w:rsidRPr="350293B1">
              <w:rPr>
                <w:rFonts w:eastAsia="Open Sans" w:cs="Open Sans"/>
                <w:b/>
                <w:bCs/>
                <w:color w:val="000000" w:themeColor="text1"/>
              </w:rPr>
              <w:t xml:space="preserve">Call to Action: </w:t>
            </w:r>
            <w:r w:rsidRPr="350293B1">
              <w:rPr>
                <w:rFonts w:eastAsia="Open Sans" w:cs="Open Sans"/>
                <w:color w:val="000000" w:themeColor="text1"/>
              </w:rPr>
              <w:t>Congress can support</w:t>
            </w:r>
            <w:r w:rsidR="60732E18" w:rsidRPr="350293B1">
              <w:rPr>
                <w:rFonts w:eastAsia="Open Sans" w:cs="Open Sans"/>
                <w:color w:val="000000" w:themeColor="text1"/>
              </w:rPr>
              <w:t xml:space="preserve"> millions more </w:t>
            </w:r>
            <w:r w:rsidR="628FE12A" w:rsidRPr="350293B1">
              <w:rPr>
                <w:rFonts w:eastAsia="Open Sans" w:cs="Open Sans"/>
                <w:color w:val="000000" w:themeColor="text1"/>
              </w:rPr>
              <w:t>children</w:t>
            </w:r>
            <w:r w:rsidR="60732E18" w:rsidRPr="350293B1">
              <w:rPr>
                <w:rFonts w:eastAsia="Open Sans" w:cs="Open Sans"/>
                <w:color w:val="000000" w:themeColor="text1"/>
              </w:rPr>
              <w:t xml:space="preserve"> by investing in quality basic education. </w:t>
            </w:r>
            <w:r w:rsidRPr="350293B1">
              <w:rPr>
                <w:rFonts w:eastAsia="Open Sans" w:cs="Open Sans"/>
                <w:color w:val="000000" w:themeColor="text1"/>
              </w:rPr>
              <w:t xml:space="preserve">Will you urge appropriators to </w:t>
            </w:r>
            <w:r w:rsidR="34B2AB91" w:rsidRPr="350293B1">
              <w:rPr>
                <w:rFonts w:eastAsia="Open Sans" w:cs="Open Sans"/>
                <w:color w:val="000000" w:themeColor="text1"/>
              </w:rPr>
              <w:t>include $</w:t>
            </w:r>
            <w:r w:rsidR="6760D610" w:rsidRPr="350293B1">
              <w:rPr>
                <w:rFonts w:eastAsia="Open Sans" w:cs="Open Sans"/>
                <w:color w:val="000000" w:themeColor="text1"/>
              </w:rPr>
              <w:t>970</w:t>
            </w:r>
            <w:r w:rsidR="34B2AB91" w:rsidRPr="350293B1">
              <w:rPr>
                <w:rFonts w:eastAsia="Open Sans" w:cs="Open Sans"/>
                <w:color w:val="000000" w:themeColor="text1"/>
              </w:rPr>
              <w:t xml:space="preserve"> </w:t>
            </w:r>
            <w:r w:rsidR="03977B8F" w:rsidRPr="350293B1">
              <w:rPr>
                <w:rFonts w:eastAsia="Open Sans" w:cs="Open Sans"/>
                <w:color w:val="000000" w:themeColor="text1"/>
              </w:rPr>
              <w:t>m</w:t>
            </w:r>
            <w:r w:rsidR="34B2AB91" w:rsidRPr="350293B1">
              <w:rPr>
                <w:rFonts w:eastAsia="Open Sans" w:cs="Open Sans"/>
                <w:color w:val="000000" w:themeColor="text1"/>
              </w:rPr>
              <w:t xml:space="preserve">illion </w:t>
            </w:r>
            <w:r w:rsidRPr="350293B1">
              <w:rPr>
                <w:rFonts w:eastAsia="Open Sans" w:cs="Open Sans"/>
                <w:color w:val="000000" w:themeColor="text1"/>
              </w:rPr>
              <w:t xml:space="preserve">for global </w:t>
            </w:r>
            <w:r w:rsidR="2F120087" w:rsidRPr="350293B1">
              <w:rPr>
                <w:rFonts w:eastAsia="Open Sans" w:cs="Open Sans"/>
                <w:color w:val="000000" w:themeColor="text1"/>
              </w:rPr>
              <w:t xml:space="preserve">education, of which $150 million for GPE </w:t>
            </w:r>
            <w:r w:rsidRPr="350293B1">
              <w:rPr>
                <w:rFonts w:eastAsia="Open Sans" w:cs="Open Sans"/>
                <w:color w:val="000000" w:themeColor="text1"/>
              </w:rPr>
              <w:t>in Fiscal Year 2027 (FY27)?</w:t>
            </w:r>
          </w:p>
          <w:p w14:paraId="0AB2304D" w14:textId="6A911672" w:rsidR="00DC4EF3" w:rsidRPr="00DC4EF3" w:rsidRDefault="00DC4EF3" w:rsidP="350293B1">
            <w:pPr>
              <w:spacing w:after="120" w:line="276" w:lineRule="auto"/>
              <w:ind w:left="75"/>
              <w:textAlignment w:val="baseline"/>
              <w:rPr>
                <w:rFonts w:eastAsia="Open Sans" w:cs="Open Sans"/>
                <w:color w:val="000000" w:themeColor="text1"/>
              </w:rPr>
            </w:pPr>
          </w:p>
          <w:p w14:paraId="2F23A06F" w14:textId="0E56DA5E" w:rsidR="00DC4EF3" w:rsidRPr="00DC4EF3" w:rsidRDefault="00DC4EF3" w:rsidP="350293B1">
            <w:pPr>
              <w:spacing w:before="120" w:after="120" w:line="276" w:lineRule="auto"/>
              <w:textAlignment w:val="baseline"/>
              <w:rPr>
                <w:rFonts w:eastAsia="Open Sans" w:cs="Open Sans"/>
                <w:color w:val="000000" w:themeColor="text1"/>
                <w:szCs w:val="22"/>
              </w:rPr>
            </w:pPr>
          </w:p>
          <w:p w14:paraId="2598F7A1" w14:textId="1A1270D8" w:rsidR="00DC4EF3" w:rsidRPr="00DC4EF3" w:rsidRDefault="00DC4EF3" w:rsidP="6145E619">
            <w:pPr>
              <w:spacing w:after="120" w:line="276" w:lineRule="auto"/>
              <w:ind w:left="75"/>
              <w:textAlignment w:val="baseline"/>
              <w:rPr>
                <w:rFonts w:eastAsia="Open Sans" w:cs="Open Sans"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A23FCC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76C5" w14:textId="77777777" w:rsidR="007369AF" w:rsidRDefault="007369AF" w:rsidP="00E5738D">
      <w:r>
        <w:separator/>
      </w:r>
    </w:p>
  </w:endnote>
  <w:endnote w:type="continuationSeparator" w:id="0">
    <w:p w14:paraId="006F5DA6" w14:textId="77777777" w:rsidR="007369AF" w:rsidRDefault="007369AF" w:rsidP="00E5738D">
      <w:r>
        <w:continuationSeparator/>
      </w:r>
    </w:p>
  </w:endnote>
  <w:endnote w:type="continuationNotice" w:id="1">
    <w:p w14:paraId="7D6BB9F2" w14:textId="77777777" w:rsidR="007369AF" w:rsidRDefault="007369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61A8" w14:textId="77777777" w:rsidR="007369AF" w:rsidRDefault="007369AF" w:rsidP="00E5738D">
      <w:r>
        <w:separator/>
      </w:r>
    </w:p>
  </w:footnote>
  <w:footnote w:type="continuationSeparator" w:id="0">
    <w:p w14:paraId="14114C30" w14:textId="77777777" w:rsidR="007369AF" w:rsidRDefault="007369AF" w:rsidP="00E5738D">
      <w:r>
        <w:continuationSeparator/>
      </w:r>
    </w:p>
  </w:footnote>
  <w:footnote w:type="continuationNotice" w:id="1">
    <w:p w14:paraId="1E8DF2B8" w14:textId="77777777" w:rsidR="007369AF" w:rsidRDefault="007369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01E8EEB"/>
    <w:multiLevelType w:val="hybridMultilevel"/>
    <w:tmpl w:val="5300B19E"/>
    <w:lvl w:ilvl="0" w:tplc="6F30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8E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4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A9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04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64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2E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A5FB3"/>
    <w:multiLevelType w:val="hybridMultilevel"/>
    <w:tmpl w:val="29A888B4"/>
    <w:lvl w:ilvl="0" w:tplc="CD700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4A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29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0C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4C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89685">
    <w:abstractNumId w:val="13"/>
  </w:num>
  <w:num w:numId="2" w16cid:durableId="1061513550">
    <w:abstractNumId w:val="10"/>
  </w:num>
  <w:num w:numId="3" w16cid:durableId="774715915">
    <w:abstractNumId w:val="17"/>
  </w:num>
  <w:num w:numId="4" w16cid:durableId="493496152">
    <w:abstractNumId w:val="8"/>
  </w:num>
  <w:num w:numId="5" w16cid:durableId="1495608295">
    <w:abstractNumId w:val="3"/>
  </w:num>
  <w:num w:numId="6" w16cid:durableId="1664892661">
    <w:abstractNumId w:val="2"/>
  </w:num>
  <w:num w:numId="7" w16cid:durableId="1751343263">
    <w:abstractNumId w:val="12"/>
  </w:num>
  <w:num w:numId="8" w16cid:durableId="1295600304">
    <w:abstractNumId w:val="11"/>
  </w:num>
  <w:num w:numId="9" w16cid:durableId="220673741">
    <w:abstractNumId w:val="5"/>
  </w:num>
  <w:num w:numId="10" w16cid:durableId="175853873">
    <w:abstractNumId w:val="6"/>
  </w:num>
  <w:num w:numId="11" w16cid:durableId="1831948763">
    <w:abstractNumId w:val="1"/>
  </w:num>
  <w:num w:numId="12" w16cid:durableId="641542638">
    <w:abstractNumId w:val="4"/>
  </w:num>
  <w:num w:numId="13" w16cid:durableId="810753369">
    <w:abstractNumId w:val="9"/>
  </w:num>
  <w:num w:numId="14" w16cid:durableId="2017417912">
    <w:abstractNumId w:val="0"/>
  </w:num>
  <w:num w:numId="15" w16cid:durableId="1996913644">
    <w:abstractNumId w:val="19"/>
  </w:num>
  <w:num w:numId="16" w16cid:durableId="1488086628">
    <w:abstractNumId w:val="18"/>
  </w:num>
  <w:num w:numId="17" w16cid:durableId="441845557">
    <w:abstractNumId w:val="14"/>
  </w:num>
  <w:num w:numId="18" w16cid:durableId="2004120352">
    <w:abstractNumId w:val="7"/>
  </w:num>
  <w:num w:numId="19" w16cid:durableId="335615730">
    <w:abstractNumId w:val="16"/>
  </w:num>
  <w:num w:numId="20" w16cid:durableId="310134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3D3F"/>
    <w:rsid w:val="0002156E"/>
    <w:rsid w:val="00024E60"/>
    <w:rsid w:val="000318EE"/>
    <w:rsid w:val="00035538"/>
    <w:rsid w:val="00057B95"/>
    <w:rsid w:val="000753BF"/>
    <w:rsid w:val="00080848"/>
    <w:rsid w:val="00082D7D"/>
    <w:rsid w:val="000979A1"/>
    <w:rsid w:val="000A13FD"/>
    <w:rsid w:val="000A7006"/>
    <w:rsid w:val="000B1718"/>
    <w:rsid w:val="000B25B5"/>
    <w:rsid w:val="000B64E1"/>
    <w:rsid w:val="000B6609"/>
    <w:rsid w:val="000C3209"/>
    <w:rsid w:val="000C3A3F"/>
    <w:rsid w:val="000D6B16"/>
    <w:rsid w:val="000E56A9"/>
    <w:rsid w:val="00101CE1"/>
    <w:rsid w:val="00105E9E"/>
    <w:rsid w:val="00111B23"/>
    <w:rsid w:val="00113DED"/>
    <w:rsid w:val="00120085"/>
    <w:rsid w:val="00123C1B"/>
    <w:rsid w:val="001343D0"/>
    <w:rsid w:val="00144933"/>
    <w:rsid w:val="0016067B"/>
    <w:rsid w:val="00171754"/>
    <w:rsid w:val="00177F97"/>
    <w:rsid w:val="0019175D"/>
    <w:rsid w:val="00192013"/>
    <w:rsid w:val="001C19B3"/>
    <w:rsid w:val="001C5A0D"/>
    <w:rsid w:val="001D3B99"/>
    <w:rsid w:val="001D48D8"/>
    <w:rsid w:val="001D6B91"/>
    <w:rsid w:val="001E1626"/>
    <w:rsid w:val="001E2DF7"/>
    <w:rsid w:val="001E78D5"/>
    <w:rsid w:val="001F273D"/>
    <w:rsid w:val="0021432D"/>
    <w:rsid w:val="00224925"/>
    <w:rsid w:val="0027065D"/>
    <w:rsid w:val="00280F24"/>
    <w:rsid w:val="002825EB"/>
    <w:rsid w:val="00291CBB"/>
    <w:rsid w:val="002A1BE2"/>
    <w:rsid w:val="002A53D3"/>
    <w:rsid w:val="002E382E"/>
    <w:rsid w:val="002F3127"/>
    <w:rsid w:val="00323A3D"/>
    <w:rsid w:val="00343806"/>
    <w:rsid w:val="00352C55"/>
    <w:rsid w:val="00352DB9"/>
    <w:rsid w:val="00353048"/>
    <w:rsid w:val="003707C9"/>
    <w:rsid w:val="003750C4"/>
    <w:rsid w:val="00390351"/>
    <w:rsid w:val="00395BEA"/>
    <w:rsid w:val="003979DB"/>
    <w:rsid w:val="003A72C7"/>
    <w:rsid w:val="003B5AB4"/>
    <w:rsid w:val="003C2F36"/>
    <w:rsid w:val="003D054A"/>
    <w:rsid w:val="003D0708"/>
    <w:rsid w:val="003D11DA"/>
    <w:rsid w:val="003D4EBC"/>
    <w:rsid w:val="003F0085"/>
    <w:rsid w:val="004163BE"/>
    <w:rsid w:val="00422033"/>
    <w:rsid w:val="00441DA9"/>
    <w:rsid w:val="00445CBA"/>
    <w:rsid w:val="0046169B"/>
    <w:rsid w:val="00471FFE"/>
    <w:rsid w:val="00490300"/>
    <w:rsid w:val="004910CF"/>
    <w:rsid w:val="004A66C0"/>
    <w:rsid w:val="004B410A"/>
    <w:rsid w:val="004C1063"/>
    <w:rsid w:val="004C4688"/>
    <w:rsid w:val="004D2D31"/>
    <w:rsid w:val="004D743F"/>
    <w:rsid w:val="004F2B08"/>
    <w:rsid w:val="004F473A"/>
    <w:rsid w:val="00506808"/>
    <w:rsid w:val="00527124"/>
    <w:rsid w:val="005271AA"/>
    <w:rsid w:val="00536677"/>
    <w:rsid w:val="00536D54"/>
    <w:rsid w:val="005370EE"/>
    <w:rsid w:val="00542334"/>
    <w:rsid w:val="0054302B"/>
    <w:rsid w:val="00553F05"/>
    <w:rsid w:val="005578DF"/>
    <w:rsid w:val="00557E29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270"/>
    <w:rsid w:val="005B7465"/>
    <w:rsid w:val="005E3F59"/>
    <w:rsid w:val="005E4A16"/>
    <w:rsid w:val="005F43D1"/>
    <w:rsid w:val="005F4C5A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92C93"/>
    <w:rsid w:val="006975A5"/>
    <w:rsid w:val="00697654"/>
    <w:rsid w:val="006A0E24"/>
    <w:rsid w:val="006A3083"/>
    <w:rsid w:val="006C3C50"/>
    <w:rsid w:val="006C647C"/>
    <w:rsid w:val="006D1CE7"/>
    <w:rsid w:val="006D294A"/>
    <w:rsid w:val="006D45AC"/>
    <w:rsid w:val="006E0E74"/>
    <w:rsid w:val="006F715C"/>
    <w:rsid w:val="00702D5B"/>
    <w:rsid w:val="007075F9"/>
    <w:rsid w:val="007160DC"/>
    <w:rsid w:val="007345D0"/>
    <w:rsid w:val="00735D4B"/>
    <w:rsid w:val="007369AF"/>
    <w:rsid w:val="00746B5B"/>
    <w:rsid w:val="00751D97"/>
    <w:rsid w:val="00755BC8"/>
    <w:rsid w:val="00761B9A"/>
    <w:rsid w:val="00764C09"/>
    <w:rsid w:val="00766E3A"/>
    <w:rsid w:val="00780052"/>
    <w:rsid w:val="00780783"/>
    <w:rsid w:val="007871FA"/>
    <w:rsid w:val="00792B4C"/>
    <w:rsid w:val="00796658"/>
    <w:rsid w:val="007B2107"/>
    <w:rsid w:val="007B7311"/>
    <w:rsid w:val="007B790E"/>
    <w:rsid w:val="007C746D"/>
    <w:rsid w:val="007D2E3A"/>
    <w:rsid w:val="007D3C5C"/>
    <w:rsid w:val="007D4CAC"/>
    <w:rsid w:val="007D73DF"/>
    <w:rsid w:val="007E5A5B"/>
    <w:rsid w:val="008017F1"/>
    <w:rsid w:val="0080497D"/>
    <w:rsid w:val="00814FC2"/>
    <w:rsid w:val="00826CB8"/>
    <w:rsid w:val="00850377"/>
    <w:rsid w:val="00851533"/>
    <w:rsid w:val="0085414F"/>
    <w:rsid w:val="008549D4"/>
    <w:rsid w:val="00867869"/>
    <w:rsid w:val="00897B35"/>
    <w:rsid w:val="008C2505"/>
    <w:rsid w:val="008D5203"/>
    <w:rsid w:val="008E0C24"/>
    <w:rsid w:val="008E624C"/>
    <w:rsid w:val="008F76FE"/>
    <w:rsid w:val="00917B1C"/>
    <w:rsid w:val="00924598"/>
    <w:rsid w:val="00927182"/>
    <w:rsid w:val="0093081B"/>
    <w:rsid w:val="0093206E"/>
    <w:rsid w:val="00941306"/>
    <w:rsid w:val="009443A1"/>
    <w:rsid w:val="00953E43"/>
    <w:rsid w:val="0097195D"/>
    <w:rsid w:val="009B5AE1"/>
    <w:rsid w:val="009B657D"/>
    <w:rsid w:val="009C6CD1"/>
    <w:rsid w:val="009E253B"/>
    <w:rsid w:val="00A038F8"/>
    <w:rsid w:val="00A0625E"/>
    <w:rsid w:val="00A23FCC"/>
    <w:rsid w:val="00A328D5"/>
    <w:rsid w:val="00A4338E"/>
    <w:rsid w:val="00A45BDC"/>
    <w:rsid w:val="00A47CCC"/>
    <w:rsid w:val="00A50A7A"/>
    <w:rsid w:val="00A6423B"/>
    <w:rsid w:val="00A70F14"/>
    <w:rsid w:val="00A82298"/>
    <w:rsid w:val="00A85778"/>
    <w:rsid w:val="00A9641E"/>
    <w:rsid w:val="00AB1C4A"/>
    <w:rsid w:val="00AB2CFC"/>
    <w:rsid w:val="00AB3432"/>
    <w:rsid w:val="00AC4BD2"/>
    <w:rsid w:val="00AC6037"/>
    <w:rsid w:val="00AD3D23"/>
    <w:rsid w:val="00AD4CC8"/>
    <w:rsid w:val="00B15625"/>
    <w:rsid w:val="00B24E55"/>
    <w:rsid w:val="00B25B26"/>
    <w:rsid w:val="00B374EA"/>
    <w:rsid w:val="00B429D8"/>
    <w:rsid w:val="00B507FC"/>
    <w:rsid w:val="00B5411D"/>
    <w:rsid w:val="00B57BD2"/>
    <w:rsid w:val="00B57D0F"/>
    <w:rsid w:val="00B61B01"/>
    <w:rsid w:val="00B665F5"/>
    <w:rsid w:val="00B9113B"/>
    <w:rsid w:val="00B95AC9"/>
    <w:rsid w:val="00B96A09"/>
    <w:rsid w:val="00BC53AC"/>
    <w:rsid w:val="00BD4DE7"/>
    <w:rsid w:val="00BE09C3"/>
    <w:rsid w:val="00BE2147"/>
    <w:rsid w:val="00C27D68"/>
    <w:rsid w:val="00C3068B"/>
    <w:rsid w:val="00C4616C"/>
    <w:rsid w:val="00C51F19"/>
    <w:rsid w:val="00C77CC6"/>
    <w:rsid w:val="00C82110"/>
    <w:rsid w:val="00C95E4C"/>
    <w:rsid w:val="00CA103D"/>
    <w:rsid w:val="00CB6754"/>
    <w:rsid w:val="00CB7336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3C71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6587"/>
    <w:rsid w:val="00DE7C9A"/>
    <w:rsid w:val="00DF107B"/>
    <w:rsid w:val="00DF14B2"/>
    <w:rsid w:val="00E0349A"/>
    <w:rsid w:val="00E13A6A"/>
    <w:rsid w:val="00E1419C"/>
    <w:rsid w:val="00E32AE2"/>
    <w:rsid w:val="00E35B88"/>
    <w:rsid w:val="00E464B1"/>
    <w:rsid w:val="00E47204"/>
    <w:rsid w:val="00E5738D"/>
    <w:rsid w:val="00E63413"/>
    <w:rsid w:val="00E67288"/>
    <w:rsid w:val="00E83B1A"/>
    <w:rsid w:val="00EB679B"/>
    <w:rsid w:val="00EC27D4"/>
    <w:rsid w:val="00EC42DB"/>
    <w:rsid w:val="00ED21CD"/>
    <w:rsid w:val="00ED2F9E"/>
    <w:rsid w:val="00EE13DC"/>
    <w:rsid w:val="00EE32CD"/>
    <w:rsid w:val="00F02E00"/>
    <w:rsid w:val="00F462F9"/>
    <w:rsid w:val="00F479AA"/>
    <w:rsid w:val="00F5628A"/>
    <w:rsid w:val="00F74562"/>
    <w:rsid w:val="00F925CC"/>
    <w:rsid w:val="00FB0B6A"/>
    <w:rsid w:val="00FC34D9"/>
    <w:rsid w:val="00FC62BE"/>
    <w:rsid w:val="00FD3E7E"/>
    <w:rsid w:val="00FF0117"/>
    <w:rsid w:val="00FF349A"/>
    <w:rsid w:val="028A04D5"/>
    <w:rsid w:val="03977B8F"/>
    <w:rsid w:val="0484F60B"/>
    <w:rsid w:val="04F78BA5"/>
    <w:rsid w:val="0598682C"/>
    <w:rsid w:val="06C7019D"/>
    <w:rsid w:val="06FB42B1"/>
    <w:rsid w:val="0BDFE751"/>
    <w:rsid w:val="0C2B201E"/>
    <w:rsid w:val="0DDC6A05"/>
    <w:rsid w:val="0F31219B"/>
    <w:rsid w:val="0FAF4937"/>
    <w:rsid w:val="11562E42"/>
    <w:rsid w:val="135B7073"/>
    <w:rsid w:val="1451CF0E"/>
    <w:rsid w:val="15593412"/>
    <w:rsid w:val="16AC9034"/>
    <w:rsid w:val="173F997A"/>
    <w:rsid w:val="1788D2FE"/>
    <w:rsid w:val="18208616"/>
    <w:rsid w:val="19706B28"/>
    <w:rsid w:val="1B039998"/>
    <w:rsid w:val="1B5E542C"/>
    <w:rsid w:val="1F2D225F"/>
    <w:rsid w:val="1F8E36E2"/>
    <w:rsid w:val="20251FE1"/>
    <w:rsid w:val="20386FE3"/>
    <w:rsid w:val="2057B33D"/>
    <w:rsid w:val="206FA40F"/>
    <w:rsid w:val="211BF107"/>
    <w:rsid w:val="2136030B"/>
    <w:rsid w:val="21935532"/>
    <w:rsid w:val="2243A1F3"/>
    <w:rsid w:val="228E4E25"/>
    <w:rsid w:val="25CEDF6B"/>
    <w:rsid w:val="2618F136"/>
    <w:rsid w:val="2BF207CD"/>
    <w:rsid w:val="2D2E8EC9"/>
    <w:rsid w:val="2F120087"/>
    <w:rsid w:val="2F2E4648"/>
    <w:rsid w:val="2FB0F07C"/>
    <w:rsid w:val="33E301B7"/>
    <w:rsid w:val="34B2AB91"/>
    <w:rsid w:val="350293B1"/>
    <w:rsid w:val="36427A59"/>
    <w:rsid w:val="3705EF88"/>
    <w:rsid w:val="387DB369"/>
    <w:rsid w:val="38D60AB0"/>
    <w:rsid w:val="3A0E1CE2"/>
    <w:rsid w:val="3BF551A0"/>
    <w:rsid w:val="3C0A630E"/>
    <w:rsid w:val="3CB209E3"/>
    <w:rsid w:val="40E9B4A8"/>
    <w:rsid w:val="41FDF04E"/>
    <w:rsid w:val="422BFCF9"/>
    <w:rsid w:val="45034105"/>
    <w:rsid w:val="45458D8C"/>
    <w:rsid w:val="47142395"/>
    <w:rsid w:val="4722E10C"/>
    <w:rsid w:val="48640D18"/>
    <w:rsid w:val="48BBDF04"/>
    <w:rsid w:val="48E3D158"/>
    <w:rsid w:val="48F4AA3B"/>
    <w:rsid w:val="4AA677F8"/>
    <w:rsid w:val="4AEE95C8"/>
    <w:rsid w:val="4B1142F0"/>
    <w:rsid w:val="4B554C32"/>
    <w:rsid w:val="4C666282"/>
    <w:rsid w:val="4C71E997"/>
    <w:rsid w:val="4DE34B57"/>
    <w:rsid w:val="4E3199F7"/>
    <w:rsid w:val="51A9E35E"/>
    <w:rsid w:val="5368EAC6"/>
    <w:rsid w:val="54C0B8F7"/>
    <w:rsid w:val="552AFCAF"/>
    <w:rsid w:val="55549ECC"/>
    <w:rsid w:val="55670101"/>
    <w:rsid w:val="55B023FB"/>
    <w:rsid w:val="562E928D"/>
    <w:rsid w:val="573762BE"/>
    <w:rsid w:val="586CA003"/>
    <w:rsid w:val="59350551"/>
    <w:rsid w:val="5C54AF28"/>
    <w:rsid w:val="5C905CD0"/>
    <w:rsid w:val="5D140B21"/>
    <w:rsid w:val="5DEC6CD4"/>
    <w:rsid w:val="5E47ECF5"/>
    <w:rsid w:val="5EADAE0B"/>
    <w:rsid w:val="60732E18"/>
    <w:rsid w:val="60AD7470"/>
    <w:rsid w:val="6145E619"/>
    <w:rsid w:val="628FE12A"/>
    <w:rsid w:val="629390B4"/>
    <w:rsid w:val="635E7ED8"/>
    <w:rsid w:val="6360D5AE"/>
    <w:rsid w:val="658BC01C"/>
    <w:rsid w:val="670E2FFB"/>
    <w:rsid w:val="6760D610"/>
    <w:rsid w:val="67962325"/>
    <w:rsid w:val="6AC6B4B4"/>
    <w:rsid w:val="6DAB3237"/>
    <w:rsid w:val="6E93D277"/>
    <w:rsid w:val="6F903999"/>
    <w:rsid w:val="6FEBC23E"/>
    <w:rsid w:val="7161CC2E"/>
    <w:rsid w:val="71934959"/>
    <w:rsid w:val="7276E936"/>
    <w:rsid w:val="74220E52"/>
    <w:rsid w:val="75F53DF5"/>
    <w:rsid w:val="76661D4C"/>
    <w:rsid w:val="767C9058"/>
    <w:rsid w:val="77E6FD21"/>
    <w:rsid w:val="77EE2AAD"/>
    <w:rsid w:val="78FD03BD"/>
    <w:rsid w:val="7B22266E"/>
    <w:rsid w:val="7EEE5234"/>
    <w:rsid w:val="7F8DE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F9314772-2C4D-4C21-B5FB-9448A62E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2D499-AE82-49E5-A740-531EE62F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2</cp:revision>
  <cp:lastPrinted>2024-05-02T15:31:00Z</cp:lastPrinted>
  <dcterms:created xsi:type="dcterms:W3CDTF">2026-02-06T21:53:00Z</dcterms:created>
  <dcterms:modified xsi:type="dcterms:W3CDTF">2026-02-06T21:53:00Z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