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7A78" w14:textId="3DC6F6A1" w:rsidR="00751D97" w:rsidRPr="00BE6F9A" w:rsidRDefault="00035FDD" w:rsidP="00DD1DDE">
      <w:pPr>
        <w:rPr>
          <w:b/>
          <w:bCs/>
        </w:rPr>
      </w:pPr>
      <w:r>
        <w:rPr>
          <w:b/>
          <w:bCs/>
        </w:rPr>
        <w:t>December</w:t>
      </w:r>
      <w:r w:rsidR="00063742" w:rsidRPr="0D9DEBDA">
        <w:rPr>
          <w:b/>
          <w:bCs/>
        </w:rPr>
        <w:t xml:space="preserve"> 2024 Action Sheet, Global Poverty</w:t>
      </w:r>
    </w:p>
    <w:p w14:paraId="463BA007" w14:textId="1F810935" w:rsidR="000471DD" w:rsidRPr="000471DD" w:rsidRDefault="003D6DE8" w:rsidP="000471DD">
      <w:pPr>
        <w:pStyle w:val="Heading1"/>
      </w:pPr>
      <w:r>
        <w:rPr>
          <w:rStyle w:val="normaltextrun"/>
        </w:rPr>
        <w:t>Write your local paper about global nutrition and global poverty</w:t>
      </w:r>
    </w:p>
    <w:p w14:paraId="7C70898F" w14:textId="0B97E3B6" w:rsidR="00FF2037" w:rsidRPr="00FF2037" w:rsidRDefault="00743484" w:rsidP="00FF2037">
      <w:pPr>
        <w:spacing w:after="160" w:line="278" w:lineRule="auto"/>
      </w:pPr>
      <w:r>
        <w:t>We</w:t>
      </w:r>
      <w:r w:rsidR="00FF2037" w:rsidRPr="00FF2037">
        <w:t xml:space="preserve"> keep seeing </w:t>
      </w:r>
      <w:r w:rsidR="004A3B0C">
        <w:t xml:space="preserve">global </w:t>
      </w:r>
      <w:r w:rsidR="00FF2037" w:rsidRPr="00FF2037">
        <w:t>headlines about families grappling for surviva</w:t>
      </w:r>
      <w:r w:rsidR="004A3B0C">
        <w:t>l</w:t>
      </w:r>
      <w:r w:rsidR="00FF2037" w:rsidRPr="00FF2037">
        <w:t xml:space="preserve">. </w:t>
      </w:r>
      <w:r w:rsidR="002E07C1">
        <w:t>Each</w:t>
      </w:r>
      <w:r w:rsidR="001B235E">
        <w:t xml:space="preserve"> year, almost</w:t>
      </w:r>
      <w:r w:rsidR="00FF2037" w:rsidRPr="00FF2037">
        <w:t xml:space="preserve"> 5 million children will die before their fifth birthday. Malnutrition is the underlying cause of almost half of those deaths.</w:t>
      </w:r>
    </w:p>
    <w:p w14:paraId="276E8366" w14:textId="39BE4FC3" w:rsidR="00FF2037" w:rsidRDefault="00FF2037" w:rsidP="000471DD">
      <w:pPr>
        <w:spacing w:after="160" w:line="278" w:lineRule="auto"/>
      </w:pPr>
      <w:r w:rsidRPr="00FF2037">
        <w:t xml:space="preserve">Proper nutrition can make or break a child’s chance at surviving illness and other harms of dire poverty. </w:t>
      </w:r>
      <w:r w:rsidR="001B235E">
        <w:t>Now, w</w:t>
      </w:r>
      <w:r w:rsidRPr="00FF2037">
        <w:t>orld leaders are gearing up to make pledges to a key global partnership</w:t>
      </w:r>
      <w:r w:rsidR="00743484">
        <w:t xml:space="preserve">. </w:t>
      </w:r>
      <w:r w:rsidRPr="00FF2037">
        <w:t>Nutrition for Growth</w:t>
      </w:r>
      <w:r w:rsidR="001B235E">
        <w:t xml:space="preserve"> (N4G)</w:t>
      </w:r>
      <w:r w:rsidR="00743484">
        <w:t xml:space="preserve"> helps </w:t>
      </w:r>
      <w:r w:rsidR="00915CE0">
        <w:t>i</w:t>
      </w:r>
      <w:r w:rsidR="001B235E">
        <w:t>ncreas</w:t>
      </w:r>
      <w:r w:rsidR="00915CE0">
        <w:t>e</w:t>
      </w:r>
      <w:r w:rsidR="001B235E">
        <w:t xml:space="preserve"> </w:t>
      </w:r>
      <w:r w:rsidRPr="00FF2037">
        <w:t>access to nutritious food for children. The U.S. must lead this charge</w:t>
      </w:r>
      <w:r w:rsidR="00915CE0">
        <w:t xml:space="preserve">. If we do, </w:t>
      </w:r>
      <w:r w:rsidRPr="00FF2037">
        <w:t xml:space="preserve">other countries </w:t>
      </w:r>
      <w:r w:rsidR="00915CE0">
        <w:t>may</w:t>
      </w:r>
      <w:r w:rsidRPr="00FF2037">
        <w:t xml:space="preserve"> follow suit</w:t>
      </w:r>
      <w:r w:rsidR="001B235E">
        <w:t xml:space="preserve"> with bold commitments at the N4G summit next spring.</w:t>
      </w:r>
    </w:p>
    <w:p w14:paraId="1FBFDC3F" w14:textId="47DB19D0" w:rsidR="000471DD" w:rsidRPr="00D61AE0" w:rsidRDefault="000471DD" w:rsidP="000471DD">
      <w:pPr>
        <w:spacing w:after="160" w:line="278" w:lineRule="auto"/>
      </w:pPr>
      <w:r w:rsidRPr="00D61AE0">
        <w:t xml:space="preserve">The world is getting better at providing a healthier start to life for all children. Global child deaths have decreased by more than half since 1990. This is due to longstanding support and partnerships. But </w:t>
      </w:r>
      <w:r w:rsidR="001B235E">
        <w:t xml:space="preserve">millions of children still die from </w:t>
      </w:r>
      <w:r w:rsidRPr="00D61AE0">
        <w:t xml:space="preserve">preventable or treatable </w:t>
      </w:r>
      <w:r w:rsidR="004A3B0C">
        <w:t xml:space="preserve">causes. </w:t>
      </w:r>
      <w:r w:rsidR="003D6DE8">
        <w:t xml:space="preserve">We must not give up the work. </w:t>
      </w:r>
    </w:p>
    <w:p w14:paraId="71925AC3" w14:textId="61354226" w:rsidR="000471DD" w:rsidRPr="00D61AE0" w:rsidRDefault="003D6DE8" w:rsidP="000471DD">
      <w:pPr>
        <w:spacing w:after="160" w:line="278" w:lineRule="auto"/>
      </w:pPr>
      <w:r>
        <w:t xml:space="preserve">To that end, we must address not only global malnutrition, but also other scourges of poverty. </w:t>
      </w:r>
    </w:p>
    <w:p w14:paraId="06194954" w14:textId="1F3E3471" w:rsidR="003D6DE8" w:rsidRDefault="003D6DE8" w:rsidP="003D6DE8">
      <w:pPr>
        <w:spacing w:after="160" w:line="278" w:lineRule="auto"/>
        <w:rPr>
          <w:b/>
          <w:bCs/>
        </w:rPr>
      </w:pPr>
      <w:r>
        <w:rPr>
          <w:b/>
          <w:bCs/>
        </w:rPr>
        <w:t xml:space="preserve">We must offer a bold pledge at the Nutrition for Growth summit in March 2025. </w:t>
      </w:r>
    </w:p>
    <w:p w14:paraId="44043058" w14:textId="21F0EDE3" w:rsidR="003D6DE8" w:rsidRDefault="003D6DE8" w:rsidP="003D6DE8">
      <w:pPr>
        <w:spacing w:after="160" w:line="278" w:lineRule="auto"/>
      </w:pPr>
      <w:r>
        <w:rPr>
          <w:b/>
          <w:bCs/>
        </w:rPr>
        <w:t>W</w:t>
      </w:r>
      <w:r w:rsidRPr="003D6DE8">
        <w:rPr>
          <w:b/>
          <w:bCs/>
        </w:rPr>
        <w:t xml:space="preserve">e must </w:t>
      </w:r>
      <w:r>
        <w:rPr>
          <w:b/>
          <w:bCs/>
        </w:rPr>
        <w:t xml:space="preserve">also </w:t>
      </w:r>
      <w:r w:rsidRPr="003D6DE8">
        <w:rPr>
          <w:b/>
          <w:bCs/>
        </w:rPr>
        <w:t>pass the End T</w:t>
      </w:r>
      <w:r w:rsidR="00746F97">
        <w:rPr>
          <w:b/>
          <w:bCs/>
        </w:rPr>
        <w:t>uberculosis</w:t>
      </w:r>
      <w:r w:rsidRPr="003D6DE8">
        <w:rPr>
          <w:b/>
          <w:bCs/>
        </w:rPr>
        <w:t xml:space="preserve"> Now Act (H.R.1776</w:t>
      </w:r>
      <w:r w:rsidR="00743484">
        <w:rPr>
          <w:b/>
          <w:bCs/>
        </w:rPr>
        <w:t xml:space="preserve">) </w:t>
      </w:r>
      <w:r w:rsidRPr="003D6DE8">
        <w:rPr>
          <w:b/>
          <w:bCs/>
        </w:rPr>
        <w:t xml:space="preserve">in </w:t>
      </w:r>
      <w:r w:rsidR="00743484">
        <w:rPr>
          <w:b/>
          <w:bCs/>
        </w:rPr>
        <w:t>the House</w:t>
      </w:r>
      <w:r w:rsidRPr="003D6DE8">
        <w:rPr>
          <w:b/>
          <w:bCs/>
        </w:rPr>
        <w:t>.</w:t>
      </w:r>
      <w:r>
        <w:t xml:space="preserve"> </w:t>
      </w:r>
      <w:r w:rsidRPr="003D6DE8">
        <w:t>This bicameral, bipartisan legislation</w:t>
      </w:r>
      <w:r w:rsidR="00743484">
        <w:t xml:space="preserve"> recently passed in the Senate. It d</w:t>
      </w:r>
      <w:r w:rsidRPr="003D6DE8">
        <w:t xml:space="preserve">irects the U.S. Agency for International Development (USAID) to set bold targets to reach and treat the most vulnerable populations for all forms of </w:t>
      </w:r>
      <w:r w:rsidR="00746F97">
        <w:t>tuberculosis.</w:t>
      </w:r>
      <w:r w:rsidRPr="003D6DE8">
        <w:t xml:space="preserve"> The bill also addresses the impact COVID-19 has had on global </w:t>
      </w:r>
      <w:r w:rsidR="00746F97">
        <w:t>tuberculosis</w:t>
      </w:r>
      <w:r w:rsidRPr="003D6DE8">
        <w:t xml:space="preserve"> control efforts.</w:t>
      </w:r>
    </w:p>
    <w:p w14:paraId="6FBF8173" w14:textId="3B7A2EC8" w:rsidR="003D6DE8" w:rsidRDefault="003D6DE8" w:rsidP="003D6DE8">
      <w:pPr>
        <w:spacing w:after="160" w:line="278" w:lineRule="auto"/>
      </w:pPr>
      <w:r w:rsidRPr="003D6DE8">
        <w:rPr>
          <w:b/>
          <w:bCs/>
        </w:rPr>
        <w:t xml:space="preserve">We must pass the READ Act Reauthorization Act of 2023 </w:t>
      </w:r>
      <w:r w:rsidR="00743484">
        <w:rPr>
          <w:b/>
          <w:bCs/>
        </w:rPr>
        <w:t xml:space="preserve">(H.R. 681) </w:t>
      </w:r>
      <w:r w:rsidRPr="003D6DE8">
        <w:rPr>
          <w:b/>
          <w:bCs/>
        </w:rPr>
        <w:t>in the House</w:t>
      </w:r>
      <w:r>
        <w:rPr>
          <w:b/>
          <w:bCs/>
        </w:rPr>
        <w:t xml:space="preserve">. </w:t>
      </w:r>
      <w:r w:rsidRPr="003D6DE8">
        <w:t>T</w:t>
      </w:r>
      <w:r w:rsidRPr="00FF2037">
        <w:t xml:space="preserve">he READ Act Reauthorization Act of 2023 </w:t>
      </w:r>
      <w:r w:rsidR="00743484">
        <w:t>would c</w:t>
      </w:r>
      <w:r w:rsidRPr="00FF2037">
        <w:t>ontinu</w:t>
      </w:r>
      <w:r w:rsidR="00743484">
        <w:t>e</w:t>
      </w:r>
      <w:r w:rsidRPr="00FF2037">
        <w:t xml:space="preserve"> current U.S. efforts to ensure equal access to quality education for children throughout the world. The matching </w:t>
      </w:r>
      <w:r w:rsidR="001B235E">
        <w:t xml:space="preserve">Senate </w:t>
      </w:r>
      <w:r w:rsidRPr="00FF2037">
        <w:t>bill has already passed with bipartisan support.</w:t>
      </w:r>
    </w:p>
    <w:p w14:paraId="151750B8" w14:textId="59618FE9" w:rsidR="003D6DE8" w:rsidRDefault="003D6DE8" w:rsidP="00FF2037">
      <w:pPr>
        <w:spacing w:after="160" w:line="278" w:lineRule="auto"/>
      </w:pPr>
      <w:r w:rsidRPr="00743484">
        <w:rPr>
          <w:b/>
          <w:bCs/>
        </w:rPr>
        <w:t xml:space="preserve">And we must support </w:t>
      </w:r>
      <w:r w:rsidR="00743484" w:rsidRPr="00743484">
        <w:rPr>
          <w:b/>
          <w:bCs/>
        </w:rPr>
        <w:t xml:space="preserve">two </w:t>
      </w:r>
      <w:r w:rsidRPr="00743484">
        <w:rPr>
          <w:b/>
          <w:bCs/>
        </w:rPr>
        <w:t>bipartisan resolution</w:t>
      </w:r>
      <w:r w:rsidR="00743484" w:rsidRPr="00743484">
        <w:rPr>
          <w:b/>
          <w:bCs/>
        </w:rPr>
        <w:t>s</w:t>
      </w:r>
      <w:r w:rsidRPr="00743484">
        <w:rPr>
          <w:b/>
          <w:bCs/>
        </w:rPr>
        <w:t xml:space="preserve"> supporting Gavi, the Vaccine Alliance (H.Res.1286 / S.Res.684).</w:t>
      </w:r>
      <w:r>
        <w:t xml:space="preserve"> This set of resolutions </w:t>
      </w:r>
      <w:r w:rsidRPr="00FF2037">
        <w:t>is a great opportunity to show strong U.S. support ahead of the Gavi replenishment</w:t>
      </w:r>
      <w:r>
        <w:t xml:space="preserve"> in 2025</w:t>
      </w:r>
      <w:r w:rsidRPr="00FF2037">
        <w:t>. The resolution</w:t>
      </w:r>
      <w:r w:rsidR="00743484">
        <w:t>s</w:t>
      </w:r>
      <w:r w:rsidRPr="00FF2037">
        <w:t xml:space="preserve"> emphasize the importance of a multi-year commitment to Gavi</w:t>
      </w:r>
      <w:r w:rsidR="00743484">
        <w:t>. They e</w:t>
      </w:r>
      <w:r w:rsidRPr="00FF2037">
        <w:t xml:space="preserve">ncourage increased funding for </w:t>
      </w:r>
      <w:r w:rsidRPr="00FF2037">
        <w:lastRenderedPageBreak/>
        <w:t>the next five years to ensure access to lifesaving vaccines</w:t>
      </w:r>
      <w:r w:rsidR="00743484">
        <w:t xml:space="preserve">. They ultimately </w:t>
      </w:r>
      <w:r w:rsidRPr="00FF2037">
        <w:t>work towards ending preventable child and maternal deaths.</w:t>
      </w:r>
    </w:p>
    <w:p w14:paraId="7365BCB8" w14:textId="3147A985" w:rsidR="00063742" w:rsidRPr="00063742" w:rsidRDefault="00063742" w:rsidP="00063742">
      <w:pPr>
        <w:pStyle w:val="Heading2"/>
        <w:rPr>
          <w:rStyle w:val="normaltextrun"/>
          <w:b w:val="0"/>
          <w:bCs w:val="0"/>
        </w:rPr>
      </w:pPr>
      <w:r w:rsidRPr="00063742">
        <w:rPr>
          <w:rStyle w:val="normaltextrun"/>
        </w:rPr>
        <w:t xml:space="preserve">Sample Letter to </w:t>
      </w:r>
      <w:r w:rsidR="00FF2037">
        <w:rPr>
          <w:rStyle w:val="normaltextrun"/>
        </w:rPr>
        <w:t>the media</w:t>
      </w:r>
      <w:r w:rsidRPr="00063742">
        <w:rPr>
          <w:rStyle w:val="normaltextrun"/>
        </w:rPr>
        <w:t xml:space="preserve"> in EPIC Format </w:t>
      </w:r>
    </w:p>
    <w:p w14:paraId="75037274" w14:textId="02E82229" w:rsidR="00063742" w:rsidRPr="0062719F" w:rsidRDefault="00063742" w:rsidP="0D9DEBDA">
      <w:pPr>
        <w:rPr>
          <w:rStyle w:val="normaltextrun"/>
          <w:rFonts w:cs="Open Sans"/>
        </w:rPr>
      </w:pPr>
      <w:r w:rsidRPr="0D9DEBDA">
        <w:rPr>
          <w:rStyle w:val="normaltextrun"/>
          <w:rFonts w:cs="Open Sans"/>
        </w:rPr>
        <w:t>Consider organizing a group</w:t>
      </w:r>
      <w:r w:rsidR="1FB0C999" w:rsidRPr="0D9DEBDA">
        <w:rPr>
          <w:rStyle w:val="normaltextrun"/>
          <w:rFonts w:cs="Open Sans"/>
        </w:rPr>
        <w:t xml:space="preserve"> </w:t>
      </w:r>
      <w:r w:rsidR="004A3B0C">
        <w:rPr>
          <w:rStyle w:val="normaltextrun"/>
          <w:rFonts w:cs="Open Sans"/>
        </w:rPr>
        <w:t xml:space="preserve">to </w:t>
      </w:r>
      <w:r w:rsidR="00FF2037">
        <w:rPr>
          <w:rStyle w:val="normaltextrun"/>
          <w:rFonts w:cs="Open Sans"/>
        </w:rPr>
        <w:t>write letters to the editor</w:t>
      </w:r>
      <w:r w:rsidR="06C77719" w:rsidRPr="0D9DEBDA">
        <w:rPr>
          <w:rStyle w:val="normaltextrun"/>
          <w:rFonts w:cs="Open Sans"/>
        </w:rPr>
        <w:t>.</w:t>
      </w:r>
      <w:r w:rsidRPr="0D9DEBDA">
        <w:rPr>
          <w:rStyle w:val="normaltextrun"/>
          <w:rFonts w:cs="Open Sans"/>
        </w:rPr>
        <w:t xml:space="preserve"> </w:t>
      </w:r>
      <w:r w:rsidR="31A628EC" w:rsidRPr="0D9DEBDA">
        <w:rPr>
          <w:rStyle w:val="normaltextrun"/>
          <w:rFonts w:cs="Open Sans"/>
        </w:rPr>
        <w:t>I</w:t>
      </w:r>
      <w:r w:rsidRPr="0D9DEBDA">
        <w:rPr>
          <w:rStyle w:val="normaltextrun"/>
          <w:rFonts w:cs="Open Sans"/>
        </w:rPr>
        <w:t>nvit</w:t>
      </w:r>
      <w:r w:rsidR="6235BF70" w:rsidRPr="0D9DEBDA">
        <w:rPr>
          <w:rStyle w:val="normaltextrun"/>
          <w:rFonts w:cs="Open Sans"/>
        </w:rPr>
        <w:t>e</w:t>
      </w:r>
      <w:r w:rsidRPr="0D9DEBDA">
        <w:rPr>
          <w:rStyle w:val="normaltextrun"/>
          <w:rFonts w:cs="Open Sans"/>
        </w:rPr>
        <w:t xml:space="preserve"> RESULTS group members, Action Network members</w:t>
      </w:r>
      <w:r w:rsidR="3DCDF85B" w:rsidRPr="0D9DEBDA">
        <w:rPr>
          <w:rStyle w:val="normaltextrun"/>
          <w:rFonts w:cs="Open Sans"/>
        </w:rPr>
        <w:t xml:space="preserve">, </w:t>
      </w:r>
      <w:r w:rsidR="45C89AEC" w:rsidRPr="0D9DEBDA">
        <w:rPr>
          <w:rStyle w:val="normaltextrun"/>
          <w:rFonts w:cs="Open Sans"/>
        </w:rPr>
        <w:t>and</w:t>
      </w:r>
      <w:r w:rsidRPr="0D9DEBDA">
        <w:rPr>
          <w:rStyle w:val="normaltextrun"/>
          <w:rFonts w:cs="Open Sans"/>
        </w:rPr>
        <w:t xml:space="preserve"> others who care about these issues</w:t>
      </w:r>
      <w:r w:rsidR="004A3B0C">
        <w:rPr>
          <w:rStyle w:val="normaltextrun"/>
          <w:rFonts w:cs="Open Sans"/>
        </w:rPr>
        <w:t xml:space="preserve">. Encourage them to </w:t>
      </w:r>
      <w:r w:rsidRPr="0D9DEBDA">
        <w:rPr>
          <w:rStyle w:val="normaltextrun"/>
          <w:rFonts w:cs="Open Sans"/>
        </w:rPr>
        <w:t xml:space="preserve">write </w:t>
      </w:r>
      <w:r w:rsidR="001B235E">
        <w:rPr>
          <w:rStyle w:val="normaltextrun"/>
          <w:rFonts w:cs="Open Sans"/>
        </w:rPr>
        <w:t xml:space="preserve">and </w:t>
      </w:r>
      <w:r w:rsidR="00FF2037">
        <w:rPr>
          <w:rStyle w:val="normaltextrun"/>
          <w:rFonts w:cs="Open Sans"/>
        </w:rPr>
        <w:t>submit their own letters</w:t>
      </w:r>
      <w:r w:rsidRPr="0D9DEBDA">
        <w:rPr>
          <w:rStyle w:val="normaltextrun"/>
          <w:rFonts w:cs="Open Sans"/>
        </w:rPr>
        <w:t xml:space="preserve">. You can find a </w:t>
      </w:r>
      <w:hyperlink r:id="rId11">
        <w:r w:rsidRPr="0D9DEBDA">
          <w:rPr>
            <w:rStyle w:val="Hyperlink"/>
            <w:rFonts w:cs="Open Sans"/>
          </w:rPr>
          <w:t>sample meeting agenda here</w:t>
        </w:r>
      </w:hyperlink>
      <w:r w:rsidRPr="0D9DEBDA">
        <w:rPr>
          <w:rStyle w:val="normaltextrun"/>
          <w:rFonts w:cs="Open Sans"/>
        </w:rPr>
        <w:t>.</w:t>
      </w:r>
    </w:p>
    <w:p w14:paraId="6C696D82" w14:textId="1E7320FD" w:rsidR="00063742" w:rsidRPr="003D6DE8" w:rsidRDefault="00063742" w:rsidP="00063742">
      <w:pPr>
        <w:rPr>
          <w:rStyle w:val="normaltextrun"/>
          <w:rFonts w:cs="Open Sans"/>
          <w:szCs w:val="22"/>
        </w:rPr>
      </w:pPr>
      <w:r w:rsidRPr="00F74435">
        <w:rPr>
          <w:rStyle w:val="normaltextrun"/>
          <w:rFonts w:cs="Open Sans"/>
          <w:b/>
          <w:bCs/>
          <w:szCs w:val="22"/>
        </w:rPr>
        <w:t xml:space="preserve">Subject: </w:t>
      </w:r>
      <w:r w:rsidR="003D6DE8">
        <w:rPr>
          <w:rStyle w:val="normaltextrun"/>
          <w:rFonts w:cs="Open Sans"/>
          <w:szCs w:val="22"/>
        </w:rPr>
        <w:t>The Biden Administration must</w:t>
      </w:r>
      <w:r w:rsidRPr="003D6DE8">
        <w:rPr>
          <w:rStyle w:val="normaltextrun"/>
          <w:rFonts w:cs="Open Sans"/>
          <w:szCs w:val="22"/>
        </w:rPr>
        <w:t xml:space="preserve"> </w:t>
      </w:r>
      <w:r w:rsidR="00CA0566" w:rsidRPr="003D6DE8">
        <w:rPr>
          <w:rStyle w:val="normaltextrun"/>
          <w:rFonts w:cs="Open Sans"/>
          <w:szCs w:val="22"/>
        </w:rPr>
        <w:t xml:space="preserve">support </w:t>
      </w:r>
      <w:r w:rsidR="003D6DE8">
        <w:rPr>
          <w:rStyle w:val="normaltextrun"/>
          <w:rFonts w:cs="Open Sans"/>
          <w:szCs w:val="22"/>
        </w:rPr>
        <w:t>a strong</w:t>
      </w:r>
      <w:r w:rsidR="002E07C1">
        <w:rPr>
          <w:rStyle w:val="normaltextrun"/>
          <w:rFonts w:cs="Open Sans"/>
          <w:szCs w:val="22"/>
        </w:rPr>
        <w:t>, early pledge to</w:t>
      </w:r>
      <w:r w:rsidR="003D6DE8">
        <w:rPr>
          <w:rStyle w:val="normaltextrun"/>
          <w:rFonts w:cs="Open Sans"/>
          <w:szCs w:val="22"/>
        </w:rPr>
        <w:t xml:space="preserve"> Nutrition for Growth</w:t>
      </w:r>
    </w:p>
    <w:p w14:paraId="53BBB314" w14:textId="41C55631" w:rsidR="003D6DE8" w:rsidRDefault="003D6DE8" w:rsidP="003D6DE8">
      <w:pPr>
        <w:rPr>
          <w:rStyle w:val="normaltextrun"/>
          <w:rFonts w:cs="Open Sans"/>
          <w:b/>
          <w:bCs/>
          <w:szCs w:val="22"/>
        </w:rPr>
      </w:pPr>
      <w:r>
        <w:rPr>
          <w:rStyle w:val="normaltextrun"/>
          <w:rFonts w:cs="Open Sans"/>
          <w:b/>
          <w:bCs/>
          <w:szCs w:val="22"/>
        </w:rPr>
        <w:t xml:space="preserve">Engage: </w:t>
      </w:r>
      <w:r w:rsidRPr="003D6DE8">
        <w:rPr>
          <w:rStyle w:val="normaltextrun"/>
          <w:rFonts w:cs="Open Sans"/>
          <w:szCs w:val="22"/>
        </w:rPr>
        <w:t xml:space="preserve">Headlines on child survival in places like Gaza and Ukraine have gotten </w:t>
      </w:r>
      <w:r w:rsidR="00743484">
        <w:rPr>
          <w:rStyle w:val="normaltextrun"/>
          <w:rFonts w:cs="Open Sans"/>
          <w:szCs w:val="22"/>
        </w:rPr>
        <w:t>increasingly</w:t>
      </w:r>
      <w:r w:rsidRPr="003D6DE8">
        <w:rPr>
          <w:rStyle w:val="normaltextrun"/>
          <w:rFonts w:cs="Open Sans"/>
          <w:szCs w:val="22"/>
        </w:rPr>
        <w:t xml:space="preserve"> </w:t>
      </w:r>
      <w:r w:rsidR="00743484">
        <w:rPr>
          <w:rStyle w:val="normaltextrun"/>
          <w:rFonts w:cs="Open Sans"/>
          <w:szCs w:val="22"/>
        </w:rPr>
        <w:t xml:space="preserve">more </w:t>
      </w:r>
      <w:r w:rsidRPr="003D6DE8">
        <w:rPr>
          <w:rStyle w:val="normaltextrun"/>
          <w:rFonts w:cs="Open Sans"/>
          <w:szCs w:val="22"/>
        </w:rPr>
        <w:t xml:space="preserve">alarming. </w:t>
      </w:r>
    </w:p>
    <w:p w14:paraId="6FCB954E" w14:textId="6C5E38B5" w:rsidR="003D6DE8" w:rsidRPr="003D6DE8" w:rsidRDefault="003D6DE8" w:rsidP="003D6DE8">
      <w:pPr>
        <w:rPr>
          <w:rStyle w:val="normaltextrun"/>
          <w:rFonts w:cs="Open Sans"/>
          <w:b/>
          <w:bCs/>
          <w:szCs w:val="22"/>
        </w:rPr>
      </w:pPr>
      <w:r>
        <w:rPr>
          <w:rStyle w:val="normaltextrun"/>
          <w:rFonts w:cs="Open Sans"/>
          <w:b/>
          <w:bCs/>
          <w:szCs w:val="22"/>
        </w:rPr>
        <w:t xml:space="preserve">State Problem: </w:t>
      </w:r>
      <w:r w:rsidRPr="003D6DE8">
        <w:rPr>
          <w:rStyle w:val="normaltextrun"/>
          <w:rFonts w:cs="Open Sans"/>
          <w:szCs w:val="22"/>
        </w:rPr>
        <w:t xml:space="preserve">We now know that almost 5 million children worldwide will likely die before </w:t>
      </w:r>
      <w:r w:rsidR="004A3B0C">
        <w:rPr>
          <w:rStyle w:val="normaltextrun"/>
          <w:rFonts w:cs="Open Sans"/>
          <w:szCs w:val="22"/>
        </w:rPr>
        <w:t>age 5</w:t>
      </w:r>
      <w:r w:rsidRPr="003D6DE8">
        <w:rPr>
          <w:rStyle w:val="normaltextrun"/>
          <w:rFonts w:cs="Open Sans"/>
          <w:szCs w:val="22"/>
        </w:rPr>
        <w:t xml:space="preserve">. </w:t>
      </w:r>
      <w:r w:rsidR="00743484">
        <w:rPr>
          <w:rStyle w:val="normaltextrun"/>
          <w:rFonts w:cs="Open Sans"/>
          <w:szCs w:val="22"/>
        </w:rPr>
        <w:t>V</w:t>
      </w:r>
      <w:r w:rsidRPr="003D6DE8">
        <w:rPr>
          <w:rStyle w:val="normaltextrun"/>
          <w:rFonts w:cs="Open Sans"/>
          <w:szCs w:val="22"/>
        </w:rPr>
        <w:t>iolent conflict and disease help drive this grim statistic</w:t>
      </w:r>
      <w:r w:rsidR="002E07C1">
        <w:rPr>
          <w:rStyle w:val="normaltextrun"/>
          <w:rFonts w:cs="Open Sans"/>
          <w:szCs w:val="22"/>
        </w:rPr>
        <w:t xml:space="preserve">, but </w:t>
      </w:r>
      <w:r w:rsidR="00743484">
        <w:rPr>
          <w:rStyle w:val="normaltextrun"/>
          <w:rFonts w:cs="Open Sans"/>
          <w:szCs w:val="22"/>
        </w:rPr>
        <w:t>m</w:t>
      </w:r>
      <w:r w:rsidRPr="003D6DE8">
        <w:rPr>
          <w:rStyle w:val="normaltextrun"/>
          <w:rFonts w:cs="Open Sans"/>
          <w:szCs w:val="22"/>
        </w:rPr>
        <w:t>alnourishment is the underlying cause for half of these deaths.</w:t>
      </w:r>
    </w:p>
    <w:p w14:paraId="16A4D5C8" w14:textId="75B27614" w:rsidR="003D6DE8" w:rsidRPr="003D6DE8" w:rsidRDefault="003D6DE8" w:rsidP="003D6DE8">
      <w:pPr>
        <w:rPr>
          <w:rStyle w:val="normaltextrun"/>
          <w:rFonts w:cs="Open Sans"/>
          <w:b/>
          <w:bCs/>
          <w:szCs w:val="22"/>
        </w:rPr>
      </w:pPr>
      <w:r>
        <w:rPr>
          <w:rStyle w:val="normaltextrun"/>
          <w:rFonts w:cs="Open Sans"/>
          <w:b/>
          <w:bCs/>
          <w:szCs w:val="22"/>
        </w:rPr>
        <w:t xml:space="preserve">Inform: </w:t>
      </w:r>
      <w:r w:rsidR="002E07C1" w:rsidRPr="00915CE0">
        <w:rPr>
          <w:rStyle w:val="normaltextrun"/>
          <w:rFonts w:cs="Open Sans"/>
          <w:szCs w:val="22"/>
        </w:rPr>
        <w:t xml:space="preserve">Proper nutrition can help children survive illness and the other harms of dire poverty. </w:t>
      </w:r>
      <w:r w:rsidRPr="002E07C1">
        <w:rPr>
          <w:rStyle w:val="normaltextrun"/>
          <w:rFonts w:cs="Open Sans"/>
          <w:szCs w:val="22"/>
        </w:rPr>
        <w:t>Nutrition</w:t>
      </w:r>
      <w:r w:rsidRPr="003D6DE8">
        <w:rPr>
          <w:rStyle w:val="normaltextrun"/>
          <w:rFonts w:cs="Open Sans"/>
          <w:szCs w:val="22"/>
        </w:rPr>
        <w:t xml:space="preserve"> for Growth (N4G) is a </w:t>
      </w:r>
      <w:r w:rsidR="002E07C1">
        <w:rPr>
          <w:rStyle w:val="normaltextrun"/>
          <w:rFonts w:cs="Open Sans"/>
          <w:szCs w:val="22"/>
        </w:rPr>
        <w:t>global</w:t>
      </w:r>
      <w:r w:rsidR="002E07C1" w:rsidRPr="003D6DE8">
        <w:rPr>
          <w:rStyle w:val="normaltextrun"/>
          <w:rFonts w:cs="Open Sans"/>
          <w:szCs w:val="22"/>
        </w:rPr>
        <w:t xml:space="preserve"> </w:t>
      </w:r>
      <w:r w:rsidRPr="003D6DE8">
        <w:rPr>
          <w:rStyle w:val="normaltextrun"/>
          <w:rFonts w:cs="Open Sans"/>
          <w:szCs w:val="22"/>
        </w:rPr>
        <w:t xml:space="preserve">partnership that channels needed resources toward proven nutrition programs. </w:t>
      </w:r>
      <w:r w:rsidR="00743484">
        <w:rPr>
          <w:rStyle w:val="normaltextrun"/>
          <w:rFonts w:cs="Open Sans"/>
          <w:szCs w:val="22"/>
        </w:rPr>
        <w:t xml:space="preserve">This </w:t>
      </w:r>
      <w:r w:rsidR="002E07C1">
        <w:rPr>
          <w:rStyle w:val="normaltextrun"/>
          <w:rFonts w:cs="Open Sans"/>
          <w:szCs w:val="22"/>
        </w:rPr>
        <w:t xml:space="preserve">funding </w:t>
      </w:r>
      <w:r w:rsidR="00743484">
        <w:rPr>
          <w:rStyle w:val="normaltextrun"/>
          <w:rFonts w:cs="Open Sans"/>
          <w:szCs w:val="22"/>
        </w:rPr>
        <w:t>opportunity</w:t>
      </w:r>
      <w:r w:rsidRPr="003D6DE8">
        <w:rPr>
          <w:rStyle w:val="normaltextrun"/>
          <w:rFonts w:cs="Open Sans"/>
          <w:szCs w:val="22"/>
        </w:rPr>
        <w:t xml:space="preserve"> only comes up every four years in conjunction with the Olympics and will happen in 2025.</w:t>
      </w:r>
      <w:r w:rsidRPr="003D6DE8">
        <w:rPr>
          <w:rStyle w:val="normaltextrun"/>
          <w:rFonts w:cs="Open Sans"/>
          <w:b/>
          <w:bCs/>
          <w:szCs w:val="22"/>
        </w:rPr>
        <w:t xml:space="preserve"> </w:t>
      </w:r>
    </w:p>
    <w:p w14:paraId="0DD266C1" w14:textId="0DC2327A" w:rsidR="003D6DE8" w:rsidRPr="00F74435" w:rsidRDefault="003D6DE8" w:rsidP="003D6DE8">
      <w:pPr>
        <w:rPr>
          <w:rStyle w:val="normaltextrun"/>
          <w:rFonts w:cs="Open Sans"/>
          <w:b/>
          <w:bCs/>
          <w:szCs w:val="22"/>
        </w:rPr>
      </w:pPr>
      <w:r>
        <w:rPr>
          <w:rStyle w:val="normaltextrun"/>
          <w:rFonts w:cs="Open Sans"/>
          <w:b/>
          <w:bCs/>
          <w:szCs w:val="22"/>
        </w:rPr>
        <w:t xml:space="preserve">Call to action: </w:t>
      </w:r>
      <w:r w:rsidRPr="003D6DE8">
        <w:rPr>
          <w:rStyle w:val="normaltextrun"/>
          <w:rFonts w:cs="Open Sans"/>
          <w:szCs w:val="22"/>
        </w:rPr>
        <w:t>I urge the Biden Administration to make a bold pledge to N4G as soon as possible. This alone will save lives. It will also send a strong signal to other world leaders to follow our lead</w:t>
      </w:r>
      <w:r w:rsidR="00743484">
        <w:rPr>
          <w:rStyle w:val="normaltextrun"/>
          <w:rFonts w:cs="Open Sans"/>
          <w:szCs w:val="22"/>
        </w:rPr>
        <w:t>. The world must p</w:t>
      </w:r>
      <w:r w:rsidRPr="003D6DE8">
        <w:rPr>
          <w:rStyle w:val="normaltextrun"/>
          <w:rFonts w:cs="Open Sans"/>
          <w:szCs w:val="22"/>
        </w:rPr>
        <w:t>rioritize nutrition and child survival.</w:t>
      </w:r>
    </w:p>
    <w:p w14:paraId="38E3B930" w14:textId="77777777" w:rsidR="00063742" w:rsidRPr="00DD1DDE" w:rsidRDefault="00063742" w:rsidP="00063742"/>
    <w:sectPr w:rsidR="00063742" w:rsidRPr="00DD1DDE" w:rsidSect="0024001B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3BF1" w14:textId="77777777" w:rsidR="00AA2079" w:rsidRDefault="00AA2079" w:rsidP="00E5738D">
      <w:r>
        <w:separator/>
      </w:r>
    </w:p>
  </w:endnote>
  <w:endnote w:type="continuationSeparator" w:id="0">
    <w:p w14:paraId="428F3F6F" w14:textId="77777777" w:rsidR="00AA2079" w:rsidRDefault="00AA2079" w:rsidP="00E5738D">
      <w:r>
        <w:continuationSeparator/>
      </w:r>
    </w:p>
  </w:endnote>
  <w:endnote w:type="continuationNotice" w:id="1">
    <w:p w14:paraId="5C9983FE" w14:textId="77777777" w:rsidR="00AA2079" w:rsidRDefault="00AA20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E629" w14:textId="77777777" w:rsidR="00792B4C" w:rsidRPr="000753BF" w:rsidRDefault="00792B4C" w:rsidP="00E5738D">
    <w:pPr>
      <w:pStyle w:val="Footer"/>
      <w:jc w:val="center"/>
      <w:rPr>
        <w:rFonts w:cs="Open Sans"/>
        <w:color w:val="58585B"/>
        <w:sz w:val="18"/>
        <w:szCs w:val="18"/>
      </w:rPr>
    </w:pPr>
    <w:r w:rsidRPr="000753BF">
      <w:rPr>
        <w:rFonts w:cs="Open Sans"/>
        <w:color w:val="58585B"/>
        <w:sz w:val="18"/>
        <w:szCs w:val="18"/>
      </w:rPr>
      <w:t>1101 15</w:t>
    </w:r>
    <w:r w:rsidRPr="000753BF">
      <w:rPr>
        <w:rFonts w:cs="Open Sans"/>
        <w:color w:val="58585B"/>
        <w:sz w:val="18"/>
        <w:szCs w:val="18"/>
        <w:vertAlign w:val="superscript"/>
      </w:rPr>
      <w:t>th</w:t>
    </w:r>
    <w:r w:rsidRPr="000753BF">
      <w:rPr>
        <w:rFonts w:cs="Open Sans"/>
        <w:color w:val="58585B"/>
        <w:sz w:val="18"/>
        <w:szCs w:val="18"/>
      </w:rPr>
      <w:t xml:space="preserve"> St</w:t>
    </w:r>
    <w:r w:rsidR="0046169B" w:rsidRPr="000753BF">
      <w:rPr>
        <w:rFonts w:cs="Open Sans"/>
        <w:color w:val="58585B"/>
        <w:sz w:val="18"/>
        <w:szCs w:val="18"/>
      </w:rPr>
      <w:t>.</w:t>
    </w:r>
    <w:r w:rsidRPr="000753BF">
      <w:rPr>
        <w:rFonts w:cs="Open Sans"/>
        <w:color w:val="58585B"/>
        <w:sz w:val="18"/>
        <w:szCs w:val="18"/>
      </w:rPr>
      <w:t xml:space="preserve"> NW, Suite </w:t>
    </w:r>
    <w:proofErr w:type="gramStart"/>
    <w:r w:rsidRPr="000753BF">
      <w:rPr>
        <w:rFonts w:cs="Open Sans"/>
        <w:color w:val="58585B"/>
        <w:sz w:val="18"/>
        <w:szCs w:val="18"/>
      </w:rPr>
      <w:t>1200  |</w:t>
    </w:r>
    <w:proofErr w:type="gramEnd"/>
    <w:r w:rsidRPr="000753BF">
      <w:rPr>
        <w:rFonts w:cs="Open Sans"/>
        <w:color w:val="58585B"/>
        <w:sz w:val="18"/>
        <w:szCs w:val="18"/>
      </w:rPr>
      <w:t xml:space="preserve">  Washington</w:t>
    </w:r>
    <w:r w:rsidR="005E4A16" w:rsidRPr="000753BF">
      <w:rPr>
        <w:rFonts w:cs="Open Sans"/>
        <w:color w:val="58585B"/>
        <w:sz w:val="18"/>
        <w:szCs w:val="18"/>
      </w:rPr>
      <w:t>,</w:t>
    </w:r>
    <w:r w:rsidRPr="000753BF">
      <w:rPr>
        <w:rFonts w:cs="Open Sans"/>
        <w:color w:val="58585B"/>
        <w:sz w:val="18"/>
        <w:szCs w:val="18"/>
      </w:rPr>
      <w:t xml:space="preserve"> DC 200</w:t>
    </w:r>
    <w:r w:rsidR="00B95AC9" w:rsidRPr="000753BF">
      <w:rPr>
        <w:rFonts w:cs="Open Sans"/>
        <w:color w:val="58585B"/>
        <w:sz w:val="18"/>
        <w:szCs w:val="18"/>
      </w:rPr>
      <w:t>0</w:t>
    </w:r>
    <w:r w:rsidRPr="000753BF">
      <w:rPr>
        <w:rFonts w:cs="Open Sans"/>
        <w:color w:val="58585B"/>
        <w:sz w:val="18"/>
        <w:szCs w:val="18"/>
      </w:rPr>
      <w:t>5</w:t>
    </w:r>
  </w:p>
  <w:p w14:paraId="1EDD93EE" w14:textId="77777777" w:rsidR="00792B4C" w:rsidRPr="000753BF" w:rsidRDefault="00B9113B" w:rsidP="00E5738D">
    <w:pPr>
      <w:pStyle w:val="Footer"/>
      <w:jc w:val="center"/>
      <w:rPr>
        <w:rFonts w:cs="Open Sans"/>
        <w:color w:val="58585B"/>
        <w:sz w:val="18"/>
        <w:szCs w:val="18"/>
      </w:rPr>
    </w:pPr>
    <w:r w:rsidRPr="000753BF">
      <w:rPr>
        <w:rFonts w:cs="Open Sans"/>
        <w:color w:val="58585B"/>
        <w:sz w:val="18"/>
        <w:szCs w:val="18"/>
      </w:rPr>
      <w:t>P: (202) 783-</w:t>
    </w:r>
    <w:proofErr w:type="gramStart"/>
    <w:r w:rsidR="00792B4C" w:rsidRPr="000753BF">
      <w:rPr>
        <w:rFonts w:cs="Open Sans"/>
        <w:color w:val="58585B"/>
        <w:sz w:val="18"/>
        <w:szCs w:val="18"/>
      </w:rPr>
      <w:t>4800</w:t>
    </w:r>
    <w:r w:rsidR="00527124" w:rsidRPr="000753BF">
      <w:rPr>
        <w:rFonts w:cs="Open Sans"/>
        <w:color w:val="58585B"/>
        <w:sz w:val="18"/>
        <w:szCs w:val="18"/>
      </w:rPr>
      <w:t xml:space="preserve">  </w:t>
    </w:r>
    <w:r w:rsidR="00792B4C" w:rsidRPr="000753BF">
      <w:rPr>
        <w:rFonts w:cs="Open Sans"/>
        <w:color w:val="58585B"/>
        <w:sz w:val="18"/>
        <w:szCs w:val="18"/>
      </w:rPr>
      <w:t>|</w:t>
    </w:r>
    <w:proofErr w:type="gramEnd"/>
    <w:r w:rsidR="00792B4C" w:rsidRPr="000753BF">
      <w:rPr>
        <w:rFonts w:cs="Open Sans"/>
        <w:color w:val="58585B"/>
        <w:sz w:val="18"/>
        <w:szCs w:val="18"/>
      </w:rPr>
      <w:t xml:space="preserve">  www.results.org</w:t>
    </w:r>
    <w:r w:rsidR="00527124" w:rsidRPr="000753BF">
      <w:rPr>
        <w:rFonts w:cs="Open Sans"/>
        <w:color w:val="58585B"/>
        <w:sz w:val="18"/>
        <w:szCs w:val="18"/>
      </w:rPr>
      <w:t xml:space="preserve">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9B9C" w14:textId="77777777" w:rsidR="00527124" w:rsidRPr="00057B95" w:rsidRDefault="00527124" w:rsidP="00527124">
    <w:pPr>
      <w:pStyle w:val="Footer"/>
      <w:jc w:val="center"/>
      <w:rPr>
        <w:rFonts w:cs="Open Sans"/>
        <w:color w:val="58585B"/>
        <w:sz w:val="18"/>
        <w:szCs w:val="18"/>
      </w:rPr>
    </w:pPr>
    <w:r w:rsidRPr="00057B95">
      <w:rPr>
        <w:rFonts w:cs="Open Sans"/>
        <w:color w:val="58585B"/>
        <w:sz w:val="18"/>
        <w:szCs w:val="18"/>
      </w:rPr>
      <w:t>1101 15</w:t>
    </w:r>
    <w:r w:rsidRPr="00057B95">
      <w:rPr>
        <w:rFonts w:cs="Open Sans"/>
        <w:color w:val="58585B"/>
        <w:sz w:val="18"/>
        <w:szCs w:val="18"/>
        <w:vertAlign w:val="superscript"/>
      </w:rPr>
      <w:t>th</w:t>
    </w:r>
    <w:r w:rsidRPr="00057B95">
      <w:rPr>
        <w:rFonts w:cs="Open Sans"/>
        <w:color w:val="58585B"/>
        <w:sz w:val="18"/>
        <w:szCs w:val="18"/>
      </w:rPr>
      <w:t xml:space="preserve"> St</w:t>
    </w:r>
    <w:r w:rsidR="00B9113B" w:rsidRPr="00057B95">
      <w:rPr>
        <w:rFonts w:cs="Open Sans"/>
        <w:color w:val="58585B"/>
        <w:sz w:val="18"/>
        <w:szCs w:val="18"/>
      </w:rPr>
      <w:t>.</w:t>
    </w:r>
    <w:r w:rsidRPr="00057B95">
      <w:rPr>
        <w:rFonts w:cs="Open Sans"/>
        <w:color w:val="58585B"/>
        <w:sz w:val="18"/>
        <w:szCs w:val="18"/>
      </w:rPr>
      <w:t xml:space="preserve"> NW, Suite </w:t>
    </w:r>
    <w:proofErr w:type="gramStart"/>
    <w:r w:rsidRPr="00057B95">
      <w:rPr>
        <w:rFonts w:cs="Open Sans"/>
        <w:color w:val="58585B"/>
        <w:sz w:val="18"/>
        <w:szCs w:val="18"/>
      </w:rPr>
      <w:t>1200  |</w:t>
    </w:r>
    <w:proofErr w:type="gramEnd"/>
    <w:r w:rsidRPr="00057B95">
      <w:rPr>
        <w:rFonts w:cs="Open Sans"/>
        <w:color w:val="58585B"/>
        <w:sz w:val="18"/>
        <w:szCs w:val="18"/>
      </w:rPr>
      <w:t xml:space="preserve">  Washington, DC 20005</w:t>
    </w:r>
  </w:p>
  <w:p w14:paraId="2DF26612" w14:textId="77777777" w:rsidR="00527124" w:rsidRPr="00057B95" w:rsidRDefault="00B9113B" w:rsidP="00527124">
    <w:pPr>
      <w:pStyle w:val="Footer"/>
      <w:jc w:val="center"/>
      <w:rPr>
        <w:rFonts w:cs="Open Sans"/>
        <w:color w:val="58585B"/>
        <w:sz w:val="18"/>
        <w:szCs w:val="18"/>
      </w:rPr>
    </w:pPr>
    <w:r w:rsidRPr="00057B95">
      <w:rPr>
        <w:rFonts w:cs="Open Sans"/>
        <w:color w:val="58585B"/>
        <w:sz w:val="18"/>
        <w:szCs w:val="18"/>
      </w:rPr>
      <w:t>P: (202) 783-</w:t>
    </w:r>
    <w:proofErr w:type="gramStart"/>
    <w:r w:rsidR="00527124" w:rsidRPr="00057B95">
      <w:rPr>
        <w:rFonts w:cs="Open Sans"/>
        <w:color w:val="58585B"/>
        <w:sz w:val="18"/>
        <w:szCs w:val="18"/>
      </w:rPr>
      <w:t>4800  |</w:t>
    </w:r>
    <w:proofErr w:type="gramEnd"/>
    <w:r w:rsidR="00527124" w:rsidRPr="00057B95">
      <w:rPr>
        <w:rFonts w:cs="Open Sans"/>
        <w:color w:val="58585B"/>
        <w:sz w:val="18"/>
        <w:szCs w:val="18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FF72" w14:textId="77777777" w:rsidR="00AA2079" w:rsidRDefault="00AA2079" w:rsidP="00E5738D">
      <w:r>
        <w:separator/>
      </w:r>
    </w:p>
  </w:footnote>
  <w:footnote w:type="continuationSeparator" w:id="0">
    <w:p w14:paraId="7D2180A8" w14:textId="77777777" w:rsidR="00AA2079" w:rsidRDefault="00AA2079" w:rsidP="00E5738D">
      <w:r>
        <w:continuationSeparator/>
      </w:r>
    </w:p>
  </w:footnote>
  <w:footnote w:type="continuationNotice" w:id="1">
    <w:p w14:paraId="1E8F1B9D" w14:textId="77777777" w:rsidR="00AA2079" w:rsidRDefault="00AA20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8DFD" w14:textId="77777777" w:rsidR="00527124" w:rsidRPr="000753BF" w:rsidRDefault="00CD6503" w:rsidP="00CD6503">
    <w:pPr>
      <w:pStyle w:val="Header"/>
      <w:rPr>
        <w:rFonts w:cs="Open Sans"/>
        <w:b/>
        <w:bCs/>
        <w:sz w:val="36"/>
        <w:szCs w:val="36"/>
      </w:rPr>
    </w:pPr>
    <w:r>
      <w:rPr>
        <w:rFonts w:ascii="Helvetica" w:hAnsi="Helvetica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1A511341" wp14:editId="335C5A1D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1139190" cy="908050"/>
          <wp:effectExtent l="0" t="0" r="3810" b="6350"/>
          <wp:wrapSquare wrapText="bothSides"/>
          <wp:docPr id="4" name="Picture 4" descr="RESUL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SULTS logo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88A"/>
    <w:multiLevelType w:val="hybridMultilevel"/>
    <w:tmpl w:val="9A74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B2C"/>
    <w:multiLevelType w:val="hybridMultilevel"/>
    <w:tmpl w:val="99C0E896"/>
    <w:lvl w:ilvl="0" w:tplc="68BC5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36A92"/>
    <w:multiLevelType w:val="hybridMultilevel"/>
    <w:tmpl w:val="02C2352C"/>
    <w:lvl w:ilvl="0" w:tplc="6A22177A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F02EF"/>
    <w:multiLevelType w:val="hybridMultilevel"/>
    <w:tmpl w:val="A23446D6"/>
    <w:lvl w:ilvl="0" w:tplc="EFAC29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5915">
    <w:abstractNumId w:val="11"/>
  </w:num>
  <w:num w:numId="2" w16cid:durableId="493496152">
    <w:abstractNumId w:val="7"/>
  </w:num>
  <w:num w:numId="3" w16cid:durableId="1495608295">
    <w:abstractNumId w:val="3"/>
  </w:num>
  <w:num w:numId="4" w16cid:durableId="1664892661">
    <w:abstractNumId w:val="2"/>
  </w:num>
  <w:num w:numId="5" w16cid:durableId="1751343263">
    <w:abstractNumId w:val="9"/>
  </w:num>
  <w:num w:numId="6" w16cid:durableId="1295600304">
    <w:abstractNumId w:val="8"/>
  </w:num>
  <w:num w:numId="7" w16cid:durableId="220673741">
    <w:abstractNumId w:val="4"/>
  </w:num>
  <w:num w:numId="8" w16cid:durableId="175853873">
    <w:abstractNumId w:val="6"/>
  </w:num>
  <w:num w:numId="9" w16cid:durableId="1831948763">
    <w:abstractNumId w:val="1"/>
  </w:num>
  <w:num w:numId="10" w16cid:durableId="123040449">
    <w:abstractNumId w:val="5"/>
  </w:num>
  <w:num w:numId="11" w16cid:durableId="1018313382">
    <w:abstractNumId w:val="0"/>
  </w:num>
  <w:num w:numId="12" w16cid:durableId="1220366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2"/>
    <w:rsid w:val="00021E71"/>
    <w:rsid w:val="00024E60"/>
    <w:rsid w:val="00035FDD"/>
    <w:rsid w:val="000471DD"/>
    <w:rsid w:val="00057B95"/>
    <w:rsid w:val="00063742"/>
    <w:rsid w:val="00072C96"/>
    <w:rsid w:val="00074823"/>
    <w:rsid w:val="000753BF"/>
    <w:rsid w:val="00082D7D"/>
    <w:rsid w:val="0008452D"/>
    <w:rsid w:val="00084732"/>
    <w:rsid w:val="000979A1"/>
    <w:rsid w:val="000A2F97"/>
    <w:rsid w:val="000A5371"/>
    <w:rsid w:val="000B25B5"/>
    <w:rsid w:val="000B60D7"/>
    <w:rsid w:val="000B64E1"/>
    <w:rsid w:val="000B717E"/>
    <w:rsid w:val="000C1FC2"/>
    <w:rsid w:val="000C3209"/>
    <w:rsid w:val="000C3A3F"/>
    <w:rsid w:val="000C7B46"/>
    <w:rsid w:val="000D401E"/>
    <w:rsid w:val="000E56A9"/>
    <w:rsid w:val="000E5990"/>
    <w:rsid w:val="000F2C6E"/>
    <w:rsid w:val="0010018A"/>
    <w:rsid w:val="00101CE1"/>
    <w:rsid w:val="00111B23"/>
    <w:rsid w:val="00113DED"/>
    <w:rsid w:val="00133D42"/>
    <w:rsid w:val="00144933"/>
    <w:rsid w:val="00145E1B"/>
    <w:rsid w:val="0015342B"/>
    <w:rsid w:val="0016067B"/>
    <w:rsid w:val="00190A11"/>
    <w:rsid w:val="0019175D"/>
    <w:rsid w:val="00192013"/>
    <w:rsid w:val="001B066E"/>
    <w:rsid w:val="001B235E"/>
    <w:rsid w:val="001C5A0D"/>
    <w:rsid w:val="001D6B91"/>
    <w:rsid w:val="001E1626"/>
    <w:rsid w:val="001F273D"/>
    <w:rsid w:val="001F64F8"/>
    <w:rsid w:val="0021432D"/>
    <w:rsid w:val="002253DD"/>
    <w:rsid w:val="00235A67"/>
    <w:rsid w:val="0024001B"/>
    <w:rsid w:val="002433CA"/>
    <w:rsid w:val="002468DD"/>
    <w:rsid w:val="00255A69"/>
    <w:rsid w:val="00267E2C"/>
    <w:rsid w:val="00280F24"/>
    <w:rsid w:val="00283B79"/>
    <w:rsid w:val="00284B75"/>
    <w:rsid w:val="002A1BE2"/>
    <w:rsid w:val="002A53D3"/>
    <w:rsid w:val="002A56C8"/>
    <w:rsid w:val="002B0A9C"/>
    <w:rsid w:val="002B47AB"/>
    <w:rsid w:val="002E07C1"/>
    <w:rsid w:val="002E382E"/>
    <w:rsid w:val="002F2B2D"/>
    <w:rsid w:val="00302D23"/>
    <w:rsid w:val="00321922"/>
    <w:rsid w:val="00323A3D"/>
    <w:rsid w:val="00343806"/>
    <w:rsid w:val="00352DB9"/>
    <w:rsid w:val="003707C9"/>
    <w:rsid w:val="00374A29"/>
    <w:rsid w:val="00390351"/>
    <w:rsid w:val="003979DB"/>
    <w:rsid w:val="003A72C7"/>
    <w:rsid w:val="003B4686"/>
    <w:rsid w:val="003B5AB4"/>
    <w:rsid w:val="003D054A"/>
    <w:rsid w:val="003D6DE8"/>
    <w:rsid w:val="003E1781"/>
    <w:rsid w:val="00414792"/>
    <w:rsid w:val="0044100C"/>
    <w:rsid w:val="00441D69"/>
    <w:rsid w:val="00441DA9"/>
    <w:rsid w:val="004435D1"/>
    <w:rsid w:val="00445CBA"/>
    <w:rsid w:val="00446938"/>
    <w:rsid w:val="0046169B"/>
    <w:rsid w:val="004713BE"/>
    <w:rsid w:val="00471FFE"/>
    <w:rsid w:val="0047206B"/>
    <w:rsid w:val="00494788"/>
    <w:rsid w:val="004A3B0C"/>
    <w:rsid w:val="004A66C0"/>
    <w:rsid w:val="004C726E"/>
    <w:rsid w:val="004D2D31"/>
    <w:rsid w:val="004E1909"/>
    <w:rsid w:val="004E5115"/>
    <w:rsid w:val="004F473A"/>
    <w:rsid w:val="00503217"/>
    <w:rsid w:val="00527124"/>
    <w:rsid w:val="005370EE"/>
    <w:rsid w:val="00551512"/>
    <w:rsid w:val="005578DF"/>
    <w:rsid w:val="00557E29"/>
    <w:rsid w:val="005730AC"/>
    <w:rsid w:val="005740A3"/>
    <w:rsid w:val="00576369"/>
    <w:rsid w:val="005A13C3"/>
    <w:rsid w:val="005A6657"/>
    <w:rsid w:val="005B1EFA"/>
    <w:rsid w:val="005B2CE1"/>
    <w:rsid w:val="005B7270"/>
    <w:rsid w:val="005C7EB1"/>
    <w:rsid w:val="005D2C5D"/>
    <w:rsid w:val="005E4A16"/>
    <w:rsid w:val="005F3598"/>
    <w:rsid w:val="005F3626"/>
    <w:rsid w:val="005F69A1"/>
    <w:rsid w:val="005F6F3C"/>
    <w:rsid w:val="00612ED9"/>
    <w:rsid w:val="00624A1F"/>
    <w:rsid w:val="0062575D"/>
    <w:rsid w:val="006260E9"/>
    <w:rsid w:val="00631A49"/>
    <w:rsid w:val="00635498"/>
    <w:rsid w:val="00644B0C"/>
    <w:rsid w:val="0064671A"/>
    <w:rsid w:val="0065202A"/>
    <w:rsid w:val="00657FC3"/>
    <w:rsid w:val="00661AC0"/>
    <w:rsid w:val="00664131"/>
    <w:rsid w:val="00664F11"/>
    <w:rsid w:val="0066577C"/>
    <w:rsid w:val="006728A7"/>
    <w:rsid w:val="006975A5"/>
    <w:rsid w:val="00697654"/>
    <w:rsid w:val="006A0E24"/>
    <w:rsid w:val="006A3083"/>
    <w:rsid w:val="006B3561"/>
    <w:rsid w:val="006B77F7"/>
    <w:rsid w:val="006C3C50"/>
    <w:rsid w:val="006C647C"/>
    <w:rsid w:val="006C72C2"/>
    <w:rsid w:val="006D1CE7"/>
    <w:rsid w:val="006E0E74"/>
    <w:rsid w:val="00702D5B"/>
    <w:rsid w:val="007075F9"/>
    <w:rsid w:val="007160DC"/>
    <w:rsid w:val="007345D0"/>
    <w:rsid w:val="0073526A"/>
    <w:rsid w:val="00743484"/>
    <w:rsid w:val="00746F97"/>
    <w:rsid w:val="00751D97"/>
    <w:rsid w:val="00755BC8"/>
    <w:rsid w:val="00761B9A"/>
    <w:rsid w:val="00764C09"/>
    <w:rsid w:val="00774817"/>
    <w:rsid w:val="007871FA"/>
    <w:rsid w:val="00792B4C"/>
    <w:rsid w:val="007B7311"/>
    <w:rsid w:val="007C746D"/>
    <w:rsid w:val="007D4CAC"/>
    <w:rsid w:val="007D6564"/>
    <w:rsid w:val="007E5A5B"/>
    <w:rsid w:val="007E6573"/>
    <w:rsid w:val="007F3AEA"/>
    <w:rsid w:val="00801099"/>
    <w:rsid w:val="00811F67"/>
    <w:rsid w:val="00814FC2"/>
    <w:rsid w:val="00826CB8"/>
    <w:rsid w:val="008415A8"/>
    <w:rsid w:val="00841943"/>
    <w:rsid w:val="00841A7E"/>
    <w:rsid w:val="00850377"/>
    <w:rsid w:val="00851533"/>
    <w:rsid w:val="008669F8"/>
    <w:rsid w:val="0088286C"/>
    <w:rsid w:val="008935B7"/>
    <w:rsid w:val="008A1851"/>
    <w:rsid w:val="008A4173"/>
    <w:rsid w:val="008A64BE"/>
    <w:rsid w:val="008C2505"/>
    <w:rsid w:val="008E0C24"/>
    <w:rsid w:val="008E624C"/>
    <w:rsid w:val="008F3FF1"/>
    <w:rsid w:val="008F4B76"/>
    <w:rsid w:val="008F76FE"/>
    <w:rsid w:val="00915CE0"/>
    <w:rsid w:val="009161E9"/>
    <w:rsid w:val="00924598"/>
    <w:rsid w:val="00927182"/>
    <w:rsid w:val="00931B2F"/>
    <w:rsid w:val="0093206E"/>
    <w:rsid w:val="00937D2D"/>
    <w:rsid w:val="00940E59"/>
    <w:rsid w:val="00941306"/>
    <w:rsid w:val="009443A1"/>
    <w:rsid w:val="00961B26"/>
    <w:rsid w:val="00963EFB"/>
    <w:rsid w:val="0098494B"/>
    <w:rsid w:val="009A4981"/>
    <w:rsid w:val="009C1681"/>
    <w:rsid w:val="009E217C"/>
    <w:rsid w:val="00A01703"/>
    <w:rsid w:val="00A02213"/>
    <w:rsid w:val="00A038F8"/>
    <w:rsid w:val="00A0625E"/>
    <w:rsid w:val="00A57CA7"/>
    <w:rsid w:val="00A640F1"/>
    <w:rsid w:val="00A6423B"/>
    <w:rsid w:val="00A70F14"/>
    <w:rsid w:val="00A8346A"/>
    <w:rsid w:val="00AA0DAE"/>
    <w:rsid w:val="00AA1BA7"/>
    <w:rsid w:val="00AA2079"/>
    <w:rsid w:val="00AB1C4A"/>
    <w:rsid w:val="00AB2CFC"/>
    <w:rsid w:val="00AC3E98"/>
    <w:rsid w:val="00AF1C37"/>
    <w:rsid w:val="00AF7F0B"/>
    <w:rsid w:val="00B02DC1"/>
    <w:rsid w:val="00B17D12"/>
    <w:rsid w:val="00B25B26"/>
    <w:rsid w:val="00B374EA"/>
    <w:rsid w:val="00B43C66"/>
    <w:rsid w:val="00B61B01"/>
    <w:rsid w:val="00B65711"/>
    <w:rsid w:val="00B665F5"/>
    <w:rsid w:val="00B67186"/>
    <w:rsid w:val="00B771DA"/>
    <w:rsid w:val="00B9113B"/>
    <w:rsid w:val="00B95AC9"/>
    <w:rsid w:val="00B96A09"/>
    <w:rsid w:val="00BA5391"/>
    <w:rsid w:val="00BC53AC"/>
    <w:rsid w:val="00BE2147"/>
    <w:rsid w:val="00BE2186"/>
    <w:rsid w:val="00BE6F9A"/>
    <w:rsid w:val="00BF1C30"/>
    <w:rsid w:val="00C17A77"/>
    <w:rsid w:val="00C25A5E"/>
    <w:rsid w:val="00C27D68"/>
    <w:rsid w:val="00C3068B"/>
    <w:rsid w:val="00C51F19"/>
    <w:rsid w:val="00C66DFB"/>
    <w:rsid w:val="00C95E4C"/>
    <w:rsid w:val="00CA0566"/>
    <w:rsid w:val="00CA103D"/>
    <w:rsid w:val="00CB6E93"/>
    <w:rsid w:val="00CD02E1"/>
    <w:rsid w:val="00CD19E2"/>
    <w:rsid w:val="00CD20F9"/>
    <w:rsid w:val="00CD6503"/>
    <w:rsid w:val="00CE32CC"/>
    <w:rsid w:val="00CE7F63"/>
    <w:rsid w:val="00CF20D5"/>
    <w:rsid w:val="00CF6722"/>
    <w:rsid w:val="00D0727B"/>
    <w:rsid w:val="00D20DB7"/>
    <w:rsid w:val="00D21538"/>
    <w:rsid w:val="00D31736"/>
    <w:rsid w:val="00D40E3E"/>
    <w:rsid w:val="00D41544"/>
    <w:rsid w:val="00D43C71"/>
    <w:rsid w:val="00D4618E"/>
    <w:rsid w:val="00D52217"/>
    <w:rsid w:val="00D5320D"/>
    <w:rsid w:val="00D577A1"/>
    <w:rsid w:val="00D61748"/>
    <w:rsid w:val="00D67DA5"/>
    <w:rsid w:val="00D8648E"/>
    <w:rsid w:val="00DB18F7"/>
    <w:rsid w:val="00DC3E95"/>
    <w:rsid w:val="00DC7F13"/>
    <w:rsid w:val="00DD1DDE"/>
    <w:rsid w:val="00DD597C"/>
    <w:rsid w:val="00DE02CF"/>
    <w:rsid w:val="00DE7C9A"/>
    <w:rsid w:val="00E005A6"/>
    <w:rsid w:val="00E13A6A"/>
    <w:rsid w:val="00E277FD"/>
    <w:rsid w:val="00E27E25"/>
    <w:rsid w:val="00E32AE2"/>
    <w:rsid w:val="00E35B88"/>
    <w:rsid w:val="00E47204"/>
    <w:rsid w:val="00E54795"/>
    <w:rsid w:val="00E5738D"/>
    <w:rsid w:val="00E63413"/>
    <w:rsid w:val="00E645A9"/>
    <w:rsid w:val="00E77AA4"/>
    <w:rsid w:val="00E86884"/>
    <w:rsid w:val="00EB6BEC"/>
    <w:rsid w:val="00EC27D4"/>
    <w:rsid w:val="00ED21CD"/>
    <w:rsid w:val="00ED5A8F"/>
    <w:rsid w:val="00EE13DC"/>
    <w:rsid w:val="00EE32CD"/>
    <w:rsid w:val="00F06F25"/>
    <w:rsid w:val="00F147C8"/>
    <w:rsid w:val="00F20165"/>
    <w:rsid w:val="00F35993"/>
    <w:rsid w:val="00F528C4"/>
    <w:rsid w:val="00F5628A"/>
    <w:rsid w:val="00F73BB6"/>
    <w:rsid w:val="00F74435"/>
    <w:rsid w:val="00F74562"/>
    <w:rsid w:val="00F84933"/>
    <w:rsid w:val="00F91C8C"/>
    <w:rsid w:val="00F925CC"/>
    <w:rsid w:val="00FA4468"/>
    <w:rsid w:val="00FA730C"/>
    <w:rsid w:val="00FB0B6A"/>
    <w:rsid w:val="00FB7F86"/>
    <w:rsid w:val="00FC34D9"/>
    <w:rsid w:val="00FC62BE"/>
    <w:rsid w:val="00FD3E7E"/>
    <w:rsid w:val="00FE5E0C"/>
    <w:rsid w:val="00FF2037"/>
    <w:rsid w:val="00FF349A"/>
    <w:rsid w:val="00FF66E5"/>
    <w:rsid w:val="00FF7A8E"/>
    <w:rsid w:val="015CF04F"/>
    <w:rsid w:val="06C77719"/>
    <w:rsid w:val="08DA96A4"/>
    <w:rsid w:val="0948EF6D"/>
    <w:rsid w:val="0B300E7F"/>
    <w:rsid w:val="0D9DEBDA"/>
    <w:rsid w:val="0E288444"/>
    <w:rsid w:val="0FD69721"/>
    <w:rsid w:val="15325DA0"/>
    <w:rsid w:val="1BA199DA"/>
    <w:rsid w:val="1E93FD21"/>
    <w:rsid w:val="1F1B2451"/>
    <w:rsid w:val="1FB0C999"/>
    <w:rsid w:val="1FC1C1F3"/>
    <w:rsid w:val="2107505B"/>
    <w:rsid w:val="224F243F"/>
    <w:rsid w:val="22858589"/>
    <w:rsid w:val="2383417A"/>
    <w:rsid w:val="24187FFB"/>
    <w:rsid w:val="25361750"/>
    <w:rsid w:val="26F36C0F"/>
    <w:rsid w:val="27E026DE"/>
    <w:rsid w:val="28FE5AA5"/>
    <w:rsid w:val="2999AB80"/>
    <w:rsid w:val="2BE46591"/>
    <w:rsid w:val="2C674FE7"/>
    <w:rsid w:val="31A628EC"/>
    <w:rsid w:val="3205B482"/>
    <w:rsid w:val="33F34D9C"/>
    <w:rsid w:val="370E44F2"/>
    <w:rsid w:val="3738E312"/>
    <w:rsid w:val="385D0BED"/>
    <w:rsid w:val="38711F30"/>
    <w:rsid w:val="39541A36"/>
    <w:rsid w:val="3DCDF85B"/>
    <w:rsid w:val="3F31FFF0"/>
    <w:rsid w:val="42602A07"/>
    <w:rsid w:val="4269E4BA"/>
    <w:rsid w:val="45C89AEC"/>
    <w:rsid w:val="462CB2C7"/>
    <w:rsid w:val="479DC6CB"/>
    <w:rsid w:val="49D706FD"/>
    <w:rsid w:val="4A7358CF"/>
    <w:rsid w:val="4AC3069A"/>
    <w:rsid w:val="4CC67ADC"/>
    <w:rsid w:val="56AA3CA9"/>
    <w:rsid w:val="5803D817"/>
    <w:rsid w:val="595A14B4"/>
    <w:rsid w:val="5D936783"/>
    <w:rsid w:val="5E2CBC1E"/>
    <w:rsid w:val="5FE9BE45"/>
    <w:rsid w:val="61D86F11"/>
    <w:rsid w:val="620E85D6"/>
    <w:rsid w:val="6235BF70"/>
    <w:rsid w:val="639EE525"/>
    <w:rsid w:val="63CD191B"/>
    <w:rsid w:val="65075306"/>
    <w:rsid w:val="6527CAB2"/>
    <w:rsid w:val="6576A0BE"/>
    <w:rsid w:val="65D28934"/>
    <w:rsid w:val="66448888"/>
    <w:rsid w:val="6A8579F1"/>
    <w:rsid w:val="6B1C5CF1"/>
    <w:rsid w:val="6F1E2974"/>
    <w:rsid w:val="71898101"/>
    <w:rsid w:val="71F17527"/>
    <w:rsid w:val="7270945D"/>
    <w:rsid w:val="73D6326A"/>
    <w:rsid w:val="74DB8CCA"/>
    <w:rsid w:val="757E5A75"/>
    <w:rsid w:val="758FDD81"/>
    <w:rsid w:val="75C076BF"/>
    <w:rsid w:val="77CC99DB"/>
    <w:rsid w:val="7B754878"/>
    <w:rsid w:val="7CC10CBD"/>
    <w:rsid w:val="7F2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4DCFB"/>
  <w14:defaultImageDpi w14:val="330"/>
  <w15:docId w15:val="{919DCEA3-8CEA-46B9-89DB-52E3447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A7"/>
    <w:pPr>
      <w:spacing w:before="120" w:after="120" w:line="276" w:lineRule="auto"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742"/>
    <w:pPr>
      <w:keepNext/>
      <w:keepLines/>
      <w:outlineLvl w:val="0"/>
    </w:pPr>
    <w:rPr>
      <w:rFonts w:eastAsiaTheme="majorEastAsia" w:cs="Open Sans"/>
      <w:b/>
      <w:bCs/>
      <w:color w:val="D5003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3742"/>
    <w:pPr>
      <w:keepNext/>
      <w:keepLines/>
      <w:outlineLvl w:val="1"/>
    </w:pPr>
    <w:rPr>
      <w:rFonts w:eastAsiaTheme="majorEastAsia" w:cs="Open Sans"/>
      <w:b/>
      <w:bCs/>
      <w:color w:val="D50032"/>
      <w:sz w:val="32"/>
      <w:szCs w:val="32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4E5115"/>
    <w:pPr>
      <w:spacing w:before="200"/>
      <w:outlineLvl w:val="2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063742"/>
    <w:pPr>
      <w:numPr>
        <w:numId w:val="1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3742"/>
    <w:rPr>
      <w:rFonts w:ascii="Open Sans" w:eastAsiaTheme="majorEastAsia" w:hAnsi="Open Sans" w:cs="Open Sans"/>
      <w:b/>
      <w:bCs/>
      <w:color w:val="D50032"/>
      <w:sz w:val="32"/>
      <w:szCs w:val="32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8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  <w:insideH w:val="single" w:sz="8" w:space="0" w:color="FFB81C" w:themeColor="accent2"/>
        <w:insideV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1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  <w:shd w:val="clear" w:color="auto" w:fill="FFEDC6" w:themeFill="accent2" w:themeFillTint="3F"/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  <w:shd w:val="clear" w:color="auto" w:fill="FFEDC6" w:themeFill="accent2" w:themeFillTint="3F"/>
      </w:tcPr>
    </w:tblStylePr>
    <w:tblStylePr w:type="band2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500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E32AE2"/>
    <w:pPr>
      <w:spacing w:after="0"/>
    </w:pPr>
    <w:rPr>
      <w:iCs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basedOn w:val="Normal"/>
    <w:autoRedefine/>
    <w:uiPriority w:val="1"/>
    <w:qFormat/>
    <w:rsid w:val="00A57CA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3742"/>
    <w:rPr>
      <w:rFonts w:ascii="Open Sans" w:eastAsiaTheme="majorEastAsia" w:hAnsi="Open Sans" w:cs="Open Sans"/>
      <w:b/>
      <w:bCs/>
      <w:color w:val="D50032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5115"/>
    <w:rPr>
      <w:rFonts w:ascii="Open Sans" w:eastAsiaTheme="majorEastAsia" w:hAnsi="Open Sans" w:cstheme="majorBidi"/>
      <w:b/>
      <w:sz w:val="2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11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B23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B23"/>
    <w:rPr>
      <w:rFonts w:ascii="Open Sans" w:hAnsi="Open Sans"/>
      <w:b/>
      <w:bCs/>
      <w:sz w:val="20"/>
      <w:szCs w:val="20"/>
    </w:rPr>
  </w:style>
  <w:style w:type="paragraph" w:customStyle="1" w:styleId="TableHeader">
    <w:name w:val="Table Header"/>
    <w:basedOn w:val="Heading1"/>
    <w:link w:val="TableHeaderChar"/>
    <w:qFormat/>
    <w:rsid w:val="00A57CA7"/>
    <w:rPr>
      <w:b w:val="0"/>
      <w:iCs/>
      <w:color w:val="000000" w:themeColor="text1"/>
      <w:sz w:val="22"/>
      <w:szCs w:val="20"/>
    </w:rPr>
  </w:style>
  <w:style w:type="character" w:customStyle="1" w:styleId="TableHeaderChar">
    <w:name w:val="Table Header Char"/>
    <w:basedOn w:val="DefaultParagraphFont"/>
    <w:link w:val="TableHeader"/>
    <w:rsid w:val="00A57CA7"/>
    <w:rPr>
      <w:rFonts w:ascii="Open Sans" w:eastAsiaTheme="majorEastAsia" w:hAnsi="Open Sans" w:cs="Open Sans"/>
      <w:iCs/>
      <w:color w:val="000000" w:themeColor="text1"/>
      <w:sz w:val="22"/>
      <w:szCs w:val="20"/>
    </w:rPr>
  </w:style>
  <w:style w:type="paragraph" w:customStyle="1" w:styleId="paragraph">
    <w:name w:val="paragraph"/>
    <w:basedOn w:val="Normal"/>
    <w:rsid w:val="000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63742"/>
  </w:style>
  <w:style w:type="paragraph" w:styleId="Revision">
    <w:name w:val="Revision"/>
    <w:hidden/>
    <w:uiPriority w:val="99"/>
    <w:semiHidden/>
    <w:rsid w:val="0064671A"/>
    <w:pPr>
      <w:spacing w:after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ults.org/wp-content/uploads/2024-Action-Workshop-Agenda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q\OneDrive%20-%20RESULTS%20Educational%20Fund\Documents\Custom%20Office%20Templates\RESULTS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RESULTS">
      <a:dk1>
        <a:sysClr val="windowText" lastClr="000000"/>
      </a:dk1>
      <a:lt1>
        <a:srgbClr val="FFFFFF"/>
      </a:lt1>
      <a:dk2>
        <a:srgbClr val="D50032"/>
      </a:dk2>
      <a:lt2>
        <a:srgbClr val="F3F0E9"/>
      </a:lt2>
      <a:accent1>
        <a:srgbClr val="29B5CF"/>
      </a:accent1>
      <a:accent2>
        <a:srgbClr val="FFB81C"/>
      </a:accent2>
      <a:accent3>
        <a:srgbClr val="56AB46"/>
      </a:accent3>
      <a:accent4>
        <a:srgbClr val="886BB0"/>
      </a:accent4>
      <a:accent5>
        <a:srgbClr val="C645A4"/>
      </a:accent5>
      <a:accent6>
        <a:srgbClr val="F77024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97f5c-1dcc-4285-afd4-644e20c050a0">
      <Terms xmlns="http://schemas.microsoft.com/office/infopath/2007/PartnerControls"/>
    </lcf76f155ced4ddcb4097134ff3c332f>
    <TaxCatchAll xmlns="302a686a-b3f1-49d2-bef1-7d06a42066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0FBF2811404CB2C33AF60E4048DB" ma:contentTypeVersion="11" ma:contentTypeDescription="Create a new document." ma:contentTypeScope="" ma:versionID="6c7ee0b976c76d49da44a8e243058ea1">
  <xsd:schema xmlns:xsd="http://www.w3.org/2001/XMLSchema" xmlns:xs="http://www.w3.org/2001/XMLSchema" xmlns:p="http://schemas.microsoft.com/office/2006/metadata/properties" xmlns:ns2="83897f5c-1dcc-4285-afd4-644e20c050a0" xmlns:ns3="302a686a-b3f1-49d2-bef1-7d06a42066fe" targetNamespace="http://schemas.microsoft.com/office/2006/metadata/properties" ma:root="true" ma:fieldsID="9fb006cad90a2e74ba6aa7cd47abfea1" ns2:_="" ns3:_="">
    <xsd:import namespace="83897f5c-1dcc-4285-afd4-644e20c050a0"/>
    <xsd:import namespace="302a686a-b3f1-49d2-bef1-7d06a4206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7f5c-1dcc-4285-afd4-644e20c05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686a-b3f1-49d2-bef1-7d06a42066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9521a1-920c-43de-9804-9b797f1508ba}" ma:internalName="TaxCatchAll" ma:showField="CatchAllData" ma:web="302a686a-b3f1-49d2-bef1-7d06a4206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83897f5c-1dcc-4285-afd4-644e20c050a0"/>
    <ds:schemaRef ds:uri="302a686a-b3f1-49d2-bef1-7d06a42066fe"/>
  </ds:schemaRefs>
</ds:datastoreItem>
</file>

<file path=customXml/itemProps2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09E73-7B8F-404D-BBCD-2C8E6C579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8A9B4-CA91-400C-AA4F-A335A7350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97f5c-1dcc-4285-afd4-644e20c050a0"/>
    <ds:schemaRef ds:uri="302a686a-b3f1-49d2-bef1-7d06a4206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 Word doc template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Safiqa Khimani</dc:creator>
  <cp:keywords/>
  <dc:description/>
  <cp:lastModifiedBy>Safiqa Khimani</cp:lastModifiedBy>
  <cp:revision>2</cp:revision>
  <cp:lastPrinted>2024-06-21T19:32:00Z</cp:lastPrinted>
  <dcterms:created xsi:type="dcterms:W3CDTF">2024-12-06T15:37:00Z</dcterms:created>
  <dcterms:modified xsi:type="dcterms:W3CDTF">2024-12-06T15:37:00Z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0x010100B0220FBF2811404CB2C33AF60E4048DB</vt:lpwstr>
  </property>
  <property fmtid="{D5CDD505-2E9C-101B-9397-08002B2CF9AE}" pid="3" name="Order">
    <vt:r8>3044300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