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16614" w14:textId="5712E74E" w:rsidR="00BC1BFD" w:rsidRPr="0080172D" w:rsidRDefault="005B2542" w:rsidP="00BF7E72">
      <w:pPr>
        <w:spacing w:after="200" w:line="276" w:lineRule="auto"/>
        <w:rPr>
          <w:rFonts w:ascii="Open Sans" w:hAnsi="Open Sans" w:cs="Open Sans"/>
          <w:b/>
          <w:bCs/>
          <w:color w:val="D50032"/>
          <w:sz w:val="40"/>
          <w:szCs w:val="40"/>
        </w:rPr>
      </w:pPr>
      <w:r w:rsidRPr="0080172D">
        <w:rPr>
          <w:rFonts w:ascii="Open Sans" w:hAnsi="Open Sans" w:cs="Open Sans"/>
          <w:b/>
          <w:bCs/>
          <w:color w:val="D50032"/>
          <w:sz w:val="40"/>
          <w:szCs w:val="40"/>
        </w:rPr>
        <w:t>Prioritizing Low-Income Americans in a Pandemi</w:t>
      </w:r>
      <w:r w:rsidR="00020CAC" w:rsidRPr="0080172D">
        <w:rPr>
          <w:rFonts w:ascii="Open Sans" w:hAnsi="Open Sans" w:cs="Open Sans"/>
          <w:b/>
          <w:bCs/>
          <w:color w:val="D50032"/>
          <w:sz w:val="40"/>
          <w:szCs w:val="40"/>
        </w:rPr>
        <w:t>c</w:t>
      </w:r>
      <w:r w:rsidR="00034444" w:rsidRPr="0080172D">
        <w:rPr>
          <w:rFonts w:ascii="Open Sans" w:hAnsi="Open Sans" w:cs="Open Sans"/>
          <w:b/>
          <w:bCs/>
          <w:color w:val="D50032"/>
          <w:sz w:val="40"/>
          <w:szCs w:val="40"/>
        </w:rPr>
        <w:t>,</w:t>
      </w:r>
      <w:r w:rsidR="00F87304" w:rsidRPr="0080172D">
        <w:rPr>
          <w:rFonts w:ascii="Open Sans" w:hAnsi="Open Sans" w:cs="Open Sans"/>
          <w:b/>
          <w:bCs/>
          <w:color w:val="D50032"/>
          <w:sz w:val="40"/>
          <w:szCs w:val="40"/>
        </w:rPr>
        <w:t xml:space="preserve"> and Building a</w:t>
      </w:r>
      <w:r w:rsidR="00034444" w:rsidRPr="0080172D">
        <w:rPr>
          <w:rFonts w:ascii="Open Sans" w:hAnsi="Open Sans" w:cs="Open Sans"/>
          <w:b/>
          <w:bCs/>
          <w:color w:val="D50032"/>
          <w:sz w:val="40"/>
          <w:szCs w:val="40"/>
        </w:rPr>
        <w:t>n</w:t>
      </w:r>
      <w:r w:rsidR="00F87304" w:rsidRPr="0080172D">
        <w:rPr>
          <w:rFonts w:ascii="Open Sans" w:hAnsi="Open Sans" w:cs="Open Sans"/>
          <w:b/>
          <w:bCs/>
          <w:color w:val="D50032"/>
          <w:sz w:val="40"/>
          <w:szCs w:val="40"/>
        </w:rPr>
        <w:t xml:space="preserve"> </w:t>
      </w:r>
      <w:r w:rsidR="004E31D3" w:rsidRPr="0080172D">
        <w:rPr>
          <w:rFonts w:ascii="Open Sans" w:hAnsi="Open Sans" w:cs="Open Sans"/>
          <w:b/>
          <w:bCs/>
          <w:color w:val="D50032"/>
          <w:sz w:val="40"/>
          <w:szCs w:val="40"/>
        </w:rPr>
        <w:t>Equitable Future</w:t>
      </w:r>
    </w:p>
    <w:p w14:paraId="4EF0ECE2" w14:textId="63E42E0E" w:rsidR="00526180" w:rsidRPr="0080172D" w:rsidRDefault="00C71D69" w:rsidP="00BF7E72">
      <w:pPr>
        <w:spacing w:after="200" w:line="276" w:lineRule="auto"/>
        <w:rPr>
          <w:rFonts w:ascii="Open Sans" w:eastAsia="MS Mincho" w:hAnsi="Open Sans" w:cs="Open Sans"/>
          <w:color w:val="000000" w:themeColor="text1"/>
          <w:sz w:val="20"/>
          <w:szCs w:val="20"/>
        </w:rPr>
      </w:pPr>
      <w:r w:rsidRPr="0080172D">
        <w:rPr>
          <w:rFonts w:ascii="Open Sans" w:eastAsia="MS Mincho" w:hAnsi="Open Sans" w:cs="Open Sans"/>
          <w:color w:val="000000" w:themeColor="text1"/>
          <w:sz w:val="20"/>
          <w:szCs w:val="20"/>
        </w:rPr>
        <w:t>Millions of Americans</w:t>
      </w:r>
      <w:r w:rsidR="00034444" w:rsidRPr="0080172D">
        <w:rPr>
          <w:rFonts w:ascii="Open Sans" w:eastAsia="MS Mincho" w:hAnsi="Open Sans" w:cs="Open Sans"/>
          <w:color w:val="000000" w:themeColor="text1"/>
          <w:sz w:val="20"/>
          <w:szCs w:val="20"/>
        </w:rPr>
        <w:t xml:space="preserve"> </w:t>
      </w:r>
      <w:r w:rsidR="007401F7" w:rsidRPr="0080172D">
        <w:rPr>
          <w:rFonts w:ascii="Open Sans" w:eastAsia="MS Mincho" w:hAnsi="Open Sans" w:cs="Open Sans"/>
          <w:color w:val="000000" w:themeColor="text1"/>
          <w:sz w:val="20"/>
          <w:szCs w:val="20"/>
        </w:rPr>
        <w:t>struggled t</w:t>
      </w:r>
      <w:bookmarkStart w:id="0" w:name="_GoBack"/>
      <w:bookmarkEnd w:id="0"/>
      <w:r w:rsidR="007401F7" w:rsidRPr="0080172D">
        <w:rPr>
          <w:rFonts w:ascii="Open Sans" w:eastAsia="MS Mincho" w:hAnsi="Open Sans" w:cs="Open Sans"/>
          <w:color w:val="000000" w:themeColor="text1"/>
          <w:sz w:val="20"/>
          <w:szCs w:val="20"/>
        </w:rPr>
        <w:t>o keep a roof over their heads</w:t>
      </w:r>
      <w:r w:rsidR="00BE68E7" w:rsidRPr="0080172D">
        <w:rPr>
          <w:rFonts w:ascii="Open Sans" w:eastAsia="MS Mincho" w:hAnsi="Open Sans" w:cs="Open Sans"/>
          <w:color w:val="000000" w:themeColor="text1"/>
          <w:sz w:val="20"/>
          <w:szCs w:val="20"/>
        </w:rPr>
        <w:t xml:space="preserve">, put food on the table, </w:t>
      </w:r>
      <w:r w:rsidR="00A06933" w:rsidRPr="0080172D">
        <w:rPr>
          <w:rFonts w:ascii="Open Sans" w:eastAsia="MS Mincho" w:hAnsi="Open Sans" w:cs="Open Sans"/>
          <w:color w:val="000000" w:themeColor="text1"/>
          <w:sz w:val="20"/>
          <w:szCs w:val="20"/>
        </w:rPr>
        <w:t xml:space="preserve">pay bills, </w:t>
      </w:r>
      <w:r w:rsidR="00C95076" w:rsidRPr="0080172D">
        <w:rPr>
          <w:rFonts w:ascii="Open Sans" w:eastAsia="MS Mincho" w:hAnsi="Open Sans" w:cs="Open Sans"/>
          <w:color w:val="000000" w:themeColor="text1"/>
          <w:sz w:val="20"/>
          <w:szCs w:val="20"/>
        </w:rPr>
        <w:t xml:space="preserve">and build </w:t>
      </w:r>
      <w:r w:rsidR="00EA2FA9" w:rsidRPr="0080172D">
        <w:rPr>
          <w:rFonts w:ascii="Open Sans" w:eastAsia="MS Mincho" w:hAnsi="Open Sans" w:cs="Open Sans"/>
          <w:color w:val="000000" w:themeColor="text1"/>
          <w:sz w:val="20"/>
          <w:szCs w:val="20"/>
        </w:rPr>
        <w:t>wealth in an inequitable society before th</w:t>
      </w:r>
      <w:r w:rsidR="00C55885" w:rsidRPr="0080172D">
        <w:rPr>
          <w:rFonts w:ascii="Open Sans" w:eastAsia="MS Mincho" w:hAnsi="Open Sans" w:cs="Open Sans"/>
          <w:color w:val="000000" w:themeColor="text1"/>
          <w:sz w:val="20"/>
          <w:szCs w:val="20"/>
        </w:rPr>
        <w:t>is pandemic, with one in</w:t>
      </w:r>
      <w:r w:rsidR="00A636DE" w:rsidRPr="0080172D">
        <w:rPr>
          <w:rFonts w:ascii="Open Sans" w:eastAsia="MS Mincho" w:hAnsi="Open Sans" w:cs="Open Sans"/>
          <w:color w:val="000000" w:themeColor="text1"/>
          <w:sz w:val="20"/>
          <w:szCs w:val="20"/>
        </w:rPr>
        <w:t xml:space="preserve"> eight Americans living below the federal poverty line</w:t>
      </w:r>
      <w:r w:rsidR="00AD684F" w:rsidRPr="0080172D">
        <w:rPr>
          <w:rFonts w:ascii="Open Sans" w:eastAsia="MS Mincho" w:hAnsi="Open Sans" w:cs="Open Sans"/>
          <w:color w:val="000000" w:themeColor="text1"/>
          <w:sz w:val="20"/>
          <w:szCs w:val="20"/>
        </w:rPr>
        <w:t xml:space="preserve">. </w:t>
      </w:r>
      <w:hyperlink r:id="rId11" w:history="1">
        <w:r w:rsidR="00D20DC6" w:rsidRPr="0080172D">
          <w:rPr>
            <w:rStyle w:val="Hyperlink"/>
            <w:rFonts w:ascii="Open Sans" w:eastAsia="MS Mincho" w:hAnsi="Open Sans" w:cs="Open Sans"/>
            <w:sz w:val="20"/>
            <w:szCs w:val="20"/>
            <w:u w:val="none"/>
          </w:rPr>
          <w:t>Pre-pandemic p</w:t>
        </w:r>
        <w:r w:rsidR="00AD684F" w:rsidRPr="0080172D">
          <w:rPr>
            <w:rStyle w:val="Hyperlink"/>
            <w:rFonts w:ascii="Open Sans" w:eastAsia="MS Mincho" w:hAnsi="Open Sans" w:cs="Open Sans"/>
            <w:sz w:val="20"/>
            <w:szCs w:val="20"/>
            <w:u w:val="none"/>
          </w:rPr>
          <w:t xml:space="preserve">overty rates </w:t>
        </w:r>
        <w:r w:rsidR="00D20DC6" w:rsidRPr="0080172D">
          <w:rPr>
            <w:rStyle w:val="Hyperlink"/>
            <w:rFonts w:ascii="Open Sans" w:eastAsia="MS Mincho" w:hAnsi="Open Sans" w:cs="Open Sans"/>
            <w:sz w:val="20"/>
            <w:szCs w:val="20"/>
            <w:u w:val="none"/>
          </w:rPr>
          <w:t xml:space="preserve">were </w:t>
        </w:r>
        <w:r w:rsidR="00AD684F" w:rsidRPr="0080172D">
          <w:rPr>
            <w:rStyle w:val="Hyperlink"/>
            <w:rFonts w:ascii="Open Sans" w:eastAsia="MS Mincho" w:hAnsi="Open Sans" w:cs="Open Sans"/>
            <w:sz w:val="20"/>
            <w:szCs w:val="20"/>
            <w:u w:val="none"/>
          </w:rPr>
          <w:t xml:space="preserve">more than </w:t>
        </w:r>
        <w:r w:rsidR="00D20DC6" w:rsidRPr="0080172D">
          <w:rPr>
            <w:rStyle w:val="Hyperlink"/>
            <w:rFonts w:ascii="Open Sans" w:eastAsia="MS Mincho" w:hAnsi="Open Sans" w:cs="Open Sans"/>
            <w:sz w:val="20"/>
            <w:szCs w:val="20"/>
            <w:u w:val="none"/>
          </w:rPr>
          <w:t>two times</w:t>
        </w:r>
        <w:r w:rsidR="00AD684F" w:rsidRPr="0080172D">
          <w:rPr>
            <w:rStyle w:val="Hyperlink"/>
            <w:rFonts w:ascii="Open Sans" w:eastAsia="MS Mincho" w:hAnsi="Open Sans" w:cs="Open Sans"/>
            <w:sz w:val="20"/>
            <w:szCs w:val="20"/>
            <w:u w:val="none"/>
          </w:rPr>
          <w:t xml:space="preserve"> higher among </w:t>
        </w:r>
        <w:r w:rsidR="00D20DC6" w:rsidRPr="0080172D">
          <w:rPr>
            <w:rStyle w:val="Hyperlink"/>
            <w:rFonts w:ascii="Open Sans" w:eastAsia="MS Mincho" w:hAnsi="Open Sans" w:cs="Open Sans"/>
            <w:sz w:val="20"/>
            <w:szCs w:val="20"/>
            <w:u w:val="none"/>
          </w:rPr>
          <w:t>B</w:t>
        </w:r>
        <w:r w:rsidR="00AD684F" w:rsidRPr="0080172D">
          <w:rPr>
            <w:rStyle w:val="Hyperlink"/>
            <w:rFonts w:ascii="Open Sans" w:eastAsia="MS Mincho" w:hAnsi="Open Sans" w:cs="Open Sans"/>
            <w:sz w:val="20"/>
            <w:szCs w:val="20"/>
            <w:u w:val="none"/>
          </w:rPr>
          <w:t>lack (20.8</w:t>
        </w:r>
        <w:r w:rsidR="00D20DC6" w:rsidRPr="0080172D">
          <w:rPr>
            <w:rStyle w:val="Hyperlink"/>
            <w:rFonts w:ascii="Open Sans" w:eastAsia="MS Mincho" w:hAnsi="Open Sans" w:cs="Open Sans"/>
            <w:sz w:val="20"/>
            <w:szCs w:val="20"/>
            <w:u w:val="none"/>
          </w:rPr>
          <w:t xml:space="preserve"> percent</w:t>
        </w:r>
        <w:r w:rsidR="00AD684F" w:rsidRPr="0080172D">
          <w:rPr>
            <w:rStyle w:val="Hyperlink"/>
            <w:rFonts w:ascii="Open Sans" w:eastAsia="MS Mincho" w:hAnsi="Open Sans" w:cs="Open Sans"/>
            <w:sz w:val="20"/>
            <w:szCs w:val="20"/>
            <w:u w:val="none"/>
          </w:rPr>
          <w:t xml:space="preserve">) and </w:t>
        </w:r>
        <w:r w:rsidR="00D20DC6" w:rsidRPr="0080172D">
          <w:rPr>
            <w:rStyle w:val="Hyperlink"/>
            <w:rFonts w:ascii="Open Sans" w:eastAsia="MS Mincho" w:hAnsi="Open Sans" w:cs="Open Sans"/>
            <w:sz w:val="20"/>
            <w:szCs w:val="20"/>
            <w:u w:val="none"/>
          </w:rPr>
          <w:t>Latinx</w:t>
        </w:r>
        <w:r w:rsidR="00AD684F" w:rsidRPr="0080172D">
          <w:rPr>
            <w:rStyle w:val="Hyperlink"/>
            <w:rFonts w:ascii="Open Sans" w:eastAsia="MS Mincho" w:hAnsi="Open Sans" w:cs="Open Sans"/>
            <w:sz w:val="20"/>
            <w:szCs w:val="20"/>
            <w:u w:val="none"/>
          </w:rPr>
          <w:t xml:space="preserve"> (17.6 </w:t>
        </w:r>
        <w:r w:rsidR="00D20DC6" w:rsidRPr="0080172D">
          <w:rPr>
            <w:rStyle w:val="Hyperlink"/>
            <w:rFonts w:ascii="Open Sans" w:eastAsia="MS Mincho" w:hAnsi="Open Sans" w:cs="Open Sans"/>
            <w:sz w:val="20"/>
            <w:szCs w:val="20"/>
            <w:u w:val="none"/>
          </w:rPr>
          <w:t>percent</w:t>
        </w:r>
        <w:r w:rsidR="00AD684F" w:rsidRPr="0080172D">
          <w:rPr>
            <w:rStyle w:val="Hyperlink"/>
            <w:rFonts w:ascii="Open Sans" w:eastAsia="MS Mincho" w:hAnsi="Open Sans" w:cs="Open Sans"/>
            <w:sz w:val="20"/>
            <w:szCs w:val="20"/>
            <w:u w:val="none"/>
          </w:rPr>
          <w:t>) people as among non-Hispanic white people (8.1</w:t>
        </w:r>
        <w:r w:rsidR="00D20DC6" w:rsidRPr="0080172D">
          <w:rPr>
            <w:rStyle w:val="Hyperlink"/>
            <w:rFonts w:ascii="Open Sans" w:eastAsia="MS Mincho" w:hAnsi="Open Sans" w:cs="Open Sans"/>
            <w:sz w:val="20"/>
            <w:szCs w:val="20"/>
            <w:u w:val="none"/>
          </w:rPr>
          <w:t xml:space="preserve"> percent</w:t>
        </w:r>
        <w:r w:rsidR="00AD684F" w:rsidRPr="0080172D">
          <w:rPr>
            <w:rStyle w:val="Hyperlink"/>
            <w:rFonts w:ascii="Open Sans" w:eastAsia="MS Mincho" w:hAnsi="Open Sans" w:cs="Open Sans"/>
            <w:sz w:val="20"/>
            <w:szCs w:val="20"/>
            <w:u w:val="none"/>
          </w:rPr>
          <w:t>)</w:t>
        </w:r>
      </w:hyperlink>
      <w:r w:rsidR="00AD684F" w:rsidRPr="0080172D">
        <w:rPr>
          <w:rFonts w:ascii="Open Sans" w:eastAsia="MS Mincho" w:hAnsi="Open Sans" w:cs="Open Sans"/>
          <w:color w:val="000000" w:themeColor="text1"/>
          <w:sz w:val="20"/>
          <w:szCs w:val="20"/>
        </w:rPr>
        <w:t>.</w:t>
      </w:r>
      <w:r w:rsidR="00CE42FD" w:rsidRPr="0080172D">
        <w:rPr>
          <w:rStyle w:val="FootnoteReference"/>
          <w:rFonts w:ascii="Open Sans" w:hAnsi="Open Sans" w:cs="Open Sans"/>
          <w:sz w:val="20"/>
          <w:szCs w:val="20"/>
        </w:rPr>
        <w:footnoteReference w:id="2"/>
      </w:r>
      <w:r w:rsidR="00CE42FD" w:rsidRPr="0080172D">
        <w:rPr>
          <w:rFonts w:ascii="Open Sans" w:hAnsi="Open Sans" w:cs="Open Sans"/>
          <w:sz w:val="20"/>
          <w:szCs w:val="20"/>
          <w:vertAlign w:val="superscript"/>
        </w:rPr>
        <w:t xml:space="preserve"> </w:t>
      </w:r>
      <w:r w:rsidR="00044A4F" w:rsidRPr="0080172D">
        <w:rPr>
          <w:rFonts w:ascii="Open Sans" w:eastAsia="MS Mincho" w:hAnsi="Open Sans" w:cs="Open Sans"/>
          <w:color w:val="000000" w:themeColor="text1"/>
          <w:sz w:val="20"/>
          <w:szCs w:val="20"/>
        </w:rPr>
        <w:t xml:space="preserve"> </w:t>
      </w:r>
      <w:r w:rsidR="00D20DC6" w:rsidRPr="0080172D">
        <w:rPr>
          <w:rFonts w:ascii="Open Sans" w:eastAsia="MS Mincho" w:hAnsi="Open Sans" w:cs="Open Sans"/>
          <w:color w:val="000000" w:themeColor="text1"/>
          <w:sz w:val="20"/>
          <w:szCs w:val="20"/>
        </w:rPr>
        <w:t>A</w:t>
      </w:r>
      <w:r w:rsidR="006A330D" w:rsidRPr="0080172D">
        <w:rPr>
          <w:rFonts w:ascii="Open Sans" w:eastAsia="MS Mincho" w:hAnsi="Open Sans" w:cs="Open Sans"/>
          <w:color w:val="000000" w:themeColor="text1"/>
          <w:sz w:val="20"/>
          <w:szCs w:val="20"/>
        </w:rPr>
        <w:t>nd a</w:t>
      </w:r>
      <w:r w:rsidR="00526180" w:rsidRPr="0080172D">
        <w:rPr>
          <w:rFonts w:ascii="Open Sans" w:eastAsia="MS Mincho" w:hAnsi="Open Sans" w:cs="Open Sans"/>
          <w:color w:val="000000" w:themeColor="text1"/>
          <w:sz w:val="20"/>
          <w:szCs w:val="20"/>
        </w:rPr>
        <w:t>t the start of 2020, the United States had an affordable housing crisis – that disproportionately impacted Black, Indigenous, and People of Color</w:t>
      </w:r>
      <w:r w:rsidR="00FD334A" w:rsidRPr="0080172D">
        <w:rPr>
          <w:rFonts w:ascii="Open Sans" w:eastAsia="MS Mincho" w:hAnsi="Open Sans" w:cs="Open Sans"/>
          <w:color w:val="000000" w:themeColor="text1"/>
          <w:sz w:val="20"/>
          <w:szCs w:val="20"/>
        </w:rPr>
        <w:t xml:space="preserve"> (BIPOC)</w:t>
      </w:r>
      <w:r w:rsidR="00526180" w:rsidRPr="0080172D">
        <w:rPr>
          <w:rFonts w:ascii="Open Sans" w:eastAsia="MS Mincho" w:hAnsi="Open Sans" w:cs="Open Sans"/>
          <w:color w:val="000000" w:themeColor="text1"/>
          <w:sz w:val="20"/>
          <w:szCs w:val="20"/>
        </w:rPr>
        <w:t>.</w:t>
      </w:r>
      <w:r w:rsidR="00EB66AB" w:rsidRPr="0080172D">
        <w:rPr>
          <w:rFonts w:ascii="Open Sans" w:eastAsia="MS Mincho" w:hAnsi="Open Sans" w:cs="Open Sans"/>
          <w:color w:val="000000" w:themeColor="text1"/>
          <w:sz w:val="20"/>
          <w:szCs w:val="20"/>
        </w:rPr>
        <w:t xml:space="preserve"> </w:t>
      </w:r>
      <w:r w:rsidR="00526180" w:rsidRPr="0080172D">
        <w:rPr>
          <w:rFonts w:ascii="Open Sans" w:eastAsia="MS Mincho" w:hAnsi="Open Sans" w:cs="Open Sans"/>
          <w:color w:val="000000" w:themeColor="text1"/>
          <w:sz w:val="20"/>
          <w:szCs w:val="20"/>
        </w:rPr>
        <w:t>Now millions of low-income working families are struggling to pay rent</w:t>
      </w:r>
      <w:r w:rsidR="00EA5F82" w:rsidRPr="0080172D">
        <w:rPr>
          <w:rFonts w:ascii="Open Sans" w:eastAsia="MS Mincho" w:hAnsi="Open Sans" w:cs="Open Sans"/>
          <w:color w:val="000000" w:themeColor="text1"/>
          <w:sz w:val="20"/>
          <w:szCs w:val="20"/>
        </w:rPr>
        <w:t xml:space="preserve"> and put food on the table</w:t>
      </w:r>
      <w:r w:rsidR="00526180" w:rsidRPr="0080172D">
        <w:rPr>
          <w:rFonts w:ascii="Open Sans" w:eastAsia="MS Mincho" w:hAnsi="Open Sans" w:cs="Open Sans"/>
          <w:color w:val="000000" w:themeColor="text1"/>
          <w:sz w:val="20"/>
          <w:szCs w:val="20"/>
        </w:rPr>
        <w:t xml:space="preserve"> as layoffs skyrocket due to the COVID-19 outbreak</w:t>
      </w:r>
      <w:r w:rsidR="00B531EA" w:rsidRPr="0080172D">
        <w:rPr>
          <w:rFonts w:ascii="Open Sans" w:eastAsia="MS Mincho" w:hAnsi="Open Sans" w:cs="Open Sans"/>
          <w:color w:val="000000" w:themeColor="text1"/>
          <w:sz w:val="20"/>
          <w:szCs w:val="20"/>
        </w:rPr>
        <w:t>, with the economic downturn anticipated to continue into 2021.</w:t>
      </w:r>
      <w:commentRangeStart w:id="1"/>
      <w:commentRangeEnd w:id="1"/>
    </w:p>
    <w:p w14:paraId="58EF2841" w14:textId="3E46388F" w:rsidR="00526180" w:rsidRPr="0080172D" w:rsidRDefault="00526180" w:rsidP="00BF7E72">
      <w:pPr>
        <w:spacing w:after="200" w:line="276" w:lineRule="auto"/>
        <w:rPr>
          <w:rFonts w:ascii="Open Sans" w:eastAsia="MS Mincho" w:hAnsi="Open Sans" w:cs="Open Sans"/>
          <w:color w:val="000000" w:themeColor="text1"/>
          <w:sz w:val="20"/>
          <w:szCs w:val="20"/>
        </w:rPr>
      </w:pPr>
      <w:r w:rsidRPr="0080172D">
        <w:rPr>
          <w:rFonts w:ascii="Open Sans" w:eastAsia="MS Mincho" w:hAnsi="Open Sans" w:cs="Open Sans"/>
          <w:color w:val="000000" w:themeColor="text1"/>
          <w:sz w:val="20"/>
          <w:szCs w:val="20"/>
        </w:rPr>
        <w:t xml:space="preserve">Over the past ten weeks, over 40 million people have filed for unemployment insurance, with an </w:t>
      </w:r>
      <w:r w:rsidR="00EE4D52" w:rsidRPr="0080172D">
        <w:rPr>
          <w:rFonts w:ascii="Open Sans" w:eastAsia="MS Mincho" w:hAnsi="Open Sans" w:cs="Open Sans"/>
          <w:color w:val="000000" w:themeColor="text1"/>
          <w:sz w:val="20"/>
          <w:szCs w:val="20"/>
        </w:rPr>
        <w:t xml:space="preserve">over </w:t>
      </w:r>
      <w:r w:rsidRPr="0080172D">
        <w:rPr>
          <w:rFonts w:ascii="Open Sans" w:eastAsia="MS Mincho" w:hAnsi="Open Sans" w:cs="Open Sans"/>
          <w:color w:val="000000" w:themeColor="text1"/>
          <w:sz w:val="20"/>
          <w:szCs w:val="20"/>
        </w:rPr>
        <w:t xml:space="preserve">one in </w:t>
      </w:r>
      <w:r w:rsidR="00EE4D52" w:rsidRPr="0080172D">
        <w:rPr>
          <w:rFonts w:ascii="Open Sans" w:eastAsia="MS Mincho" w:hAnsi="Open Sans" w:cs="Open Sans"/>
          <w:color w:val="000000" w:themeColor="text1"/>
          <w:sz w:val="20"/>
          <w:szCs w:val="20"/>
        </w:rPr>
        <w:t xml:space="preserve">seven </w:t>
      </w:r>
      <w:r w:rsidRPr="0080172D">
        <w:rPr>
          <w:rFonts w:ascii="Open Sans" w:eastAsia="MS Mincho" w:hAnsi="Open Sans" w:cs="Open Sans"/>
          <w:color w:val="000000" w:themeColor="text1"/>
          <w:sz w:val="20"/>
          <w:szCs w:val="20"/>
        </w:rPr>
        <w:t>workers unemployed.</w:t>
      </w:r>
      <w:r w:rsidR="009C4991" w:rsidRPr="0080172D">
        <w:rPr>
          <w:rStyle w:val="FootnoteReference"/>
          <w:rFonts w:ascii="Open Sans" w:hAnsi="Open Sans" w:cs="Open Sans"/>
          <w:sz w:val="20"/>
          <w:szCs w:val="20"/>
        </w:rPr>
        <w:footnoteReference w:id="3"/>
      </w:r>
      <w:r w:rsidRPr="0080172D">
        <w:rPr>
          <w:rFonts w:ascii="Open Sans" w:eastAsia="MS Mincho" w:hAnsi="Open Sans" w:cs="Open Sans"/>
          <w:color w:val="000000" w:themeColor="text1"/>
          <w:sz w:val="20"/>
          <w:szCs w:val="20"/>
        </w:rPr>
        <w:t xml:space="preserve"> </w:t>
      </w:r>
      <w:r w:rsidRPr="0080172D">
        <w:rPr>
          <w:rFonts w:ascii="Open Sans" w:eastAsia="Arial" w:hAnsi="Open Sans" w:cs="Open Sans"/>
          <w:sz w:val="20"/>
          <w:szCs w:val="20"/>
        </w:rPr>
        <w:t xml:space="preserve">Unemployment is rising faster for women and people of color, </w:t>
      </w:r>
      <w:r w:rsidR="002A7DA3" w:rsidRPr="0080172D">
        <w:rPr>
          <w:rFonts w:ascii="Open Sans" w:eastAsia="Arial" w:hAnsi="Open Sans" w:cs="Open Sans"/>
          <w:sz w:val="20"/>
          <w:szCs w:val="20"/>
        </w:rPr>
        <w:t>and</w:t>
      </w:r>
      <w:r w:rsidRPr="0080172D">
        <w:rPr>
          <w:rFonts w:ascii="Open Sans" w:eastAsia="Arial" w:hAnsi="Open Sans" w:cs="Open Sans"/>
          <w:sz w:val="20"/>
          <w:szCs w:val="20"/>
        </w:rPr>
        <w:t xml:space="preserve"> women of color are overrepresented in low-paid jobs such as retail, hospitality, and restaurants.</w:t>
      </w:r>
      <w:r w:rsidR="00EE1B49" w:rsidRPr="0080172D">
        <w:rPr>
          <w:rFonts w:ascii="Open Sans" w:eastAsia="Arial" w:hAnsi="Open Sans" w:cs="Open Sans"/>
          <w:sz w:val="20"/>
          <w:szCs w:val="20"/>
        </w:rPr>
        <w:t xml:space="preserve"> Poverty and inequality</w:t>
      </w:r>
      <w:r w:rsidR="00463754" w:rsidRPr="0080172D">
        <w:rPr>
          <w:rFonts w:ascii="Open Sans" w:eastAsia="Arial" w:hAnsi="Open Sans" w:cs="Open Sans"/>
          <w:sz w:val="20"/>
          <w:szCs w:val="20"/>
        </w:rPr>
        <w:t xml:space="preserve"> </w:t>
      </w:r>
      <w:r w:rsidR="0046693B" w:rsidRPr="0080172D">
        <w:rPr>
          <w:rFonts w:ascii="Open Sans" w:eastAsia="Arial" w:hAnsi="Open Sans" w:cs="Open Sans"/>
          <w:sz w:val="20"/>
          <w:szCs w:val="20"/>
        </w:rPr>
        <w:t>were major struct</w:t>
      </w:r>
      <w:r w:rsidR="006F27F9" w:rsidRPr="0080172D">
        <w:rPr>
          <w:rFonts w:ascii="Open Sans" w:eastAsia="Arial" w:hAnsi="Open Sans" w:cs="Open Sans"/>
          <w:sz w:val="20"/>
          <w:szCs w:val="20"/>
        </w:rPr>
        <w:t xml:space="preserve">ural challenges before the pandemic </w:t>
      </w:r>
      <w:r w:rsidR="00E911FB" w:rsidRPr="0080172D">
        <w:rPr>
          <w:rFonts w:ascii="Open Sans" w:eastAsia="Arial" w:hAnsi="Open Sans" w:cs="Open Sans"/>
          <w:sz w:val="20"/>
          <w:szCs w:val="20"/>
        </w:rPr>
        <w:t>–</w:t>
      </w:r>
      <w:r w:rsidR="006F27F9" w:rsidRPr="0080172D">
        <w:rPr>
          <w:rFonts w:ascii="Open Sans" w:eastAsia="Arial" w:hAnsi="Open Sans" w:cs="Open Sans"/>
          <w:sz w:val="20"/>
          <w:szCs w:val="20"/>
        </w:rPr>
        <w:t xml:space="preserve"> </w:t>
      </w:r>
      <w:r w:rsidR="00E911FB" w:rsidRPr="0080172D">
        <w:rPr>
          <w:rFonts w:ascii="Open Sans" w:eastAsia="Arial" w:hAnsi="Open Sans" w:cs="Open Sans"/>
          <w:sz w:val="20"/>
          <w:szCs w:val="20"/>
        </w:rPr>
        <w:t xml:space="preserve">disproportionately harming </w:t>
      </w:r>
      <w:r w:rsidR="00FD334A" w:rsidRPr="0080172D">
        <w:rPr>
          <w:rFonts w:ascii="Open Sans" w:eastAsia="Arial" w:hAnsi="Open Sans" w:cs="Open Sans"/>
          <w:sz w:val="20"/>
          <w:szCs w:val="20"/>
        </w:rPr>
        <w:t xml:space="preserve">BIPOC – and </w:t>
      </w:r>
      <w:r w:rsidR="00964FEE" w:rsidRPr="0080172D">
        <w:rPr>
          <w:rFonts w:ascii="Open Sans" w:eastAsia="Arial" w:hAnsi="Open Sans" w:cs="Open Sans"/>
          <w:sz w:val="20"/>
          <w:szCs w:val="20"/>
        </w:rPr>
        <w:t xml:space="preserve">our current crisis is exacerbating these inequities. </w:t>
      </w:r>
      <w:r w:rsidRPr="0080172D">
        <w:rPr>
          <w:rFonts w:ascii="Open Sans" w:eastAsia="MS Mincho" w:hAnsi="Open Sans" w:cs="Open Sans"/>
          <w:color w:val="000000" w:themeColor="text1"/>
          <w:sz w:val="20"/>
          <w:szCs w:val="20"/>
        </w:rPr>
        <w:t>We must act to prevent millions of low-income renters from losing housing</w:t>
      </w:r>
      <w:r w:rsidR="00964FEE" w:rsidRPr="0080172D">
        <w:rPr>
          <w:rFonts w:ascii="Open Sans" w:eastAsia="MS Mincho" w:hAnsi="Open Sans" w:cs="Open Sans"/>
          <w:color w:val="000000" w:themeColor="text1"/>
          <w:sz w:val="20"/>
          <w:szCs w:val="20"/>
        </w:rPr>
        <w:t xml:space="preserve"> and </w:t>
      </w:r>
      <w:r w:rsidR="007F78DF" w:rsidRPr="0080172D">
        <w:rPr>
          <w:rFonts w:ascii="Open Sans" w:eastAsia="MS Mincho" w:hAnsi="Open Sans" w:cs="Open Sans"/>
          <w:color w:val="000000" w:themeColor="text1"/>
          <w:sz w:val="20"/>
          <w:szCs w:val="20"/>
        </w:rPr>
        <w:t>meet other basic needs</w:t>
      </w:r>
      <w:r w:rsidRPr="0080172D">
        <w:rPr>
          <w:rFonts w:ascii="Open Sans" w:eastAsia="MS Mincho" w:hAnsi="Open Sans" w:cs="Open Sans"/>
          <w:color w:val="000000" w:themeColor="text1"/>
          <w:sz w:val="20"/>
          <w:szCs w:val="20"/>
        </w:rPr>
        <w:t xml:space="preserve"> – and create a better future. </w:t>
      </w:r>
      <w:r w:rsidR="006A330D" w:rsidRPr="0080172D">
        <w:rPr>
          <w:rFonts w:ascii="Open Sans" w:eastAsia="MS Mincho" w:hAnsi="Open Sans" w:cs="Open Sans"/>
          <w:color w:val="000000" w:themeColor="text1"/>
          <w:sz w:val="20"/>
          <w:szCs w:val="20"/>
        </w:rPr>
        <w:t xml:space="preserve">In conversations with policymakers this month, we will push for short-term policies to keep low-income renters stably housed and bold policy solutions to our underlying affordable housing crisis. In addition, </w:t>
      </w:r>
      <w:r w:rsidR="00FA266A" w:rsidRPr="0080172D">
        <w:rPr>
          <w:rFonts w:ascii="Open Sans" w:eastAsia="MS Mincho" w:hAnsi="Open Sans" w:cs="Open Sans"/>
          <w:color w:val="000000" w:themeColor="text1"/>
          <w:sz w:val="20"/>
          <w:szCs w:val="20"/>
        </w:rPr>
        <w:t xml:space="preserve">in lobby prep calls this month </w:t>
      </w:r>
      <w:r w:rsidR="00041BD2" w:rsidRPr="0080172D">
        <w:rPr>
          <w:rFonts w:ascii="Open Sans" w:eastAsia="MS Mincho" w:hAnsi="Open Sans" w:cs="Open Sans"/>
          <w:color w:val="000000" w:themeColor="text1"/>
          <w:sz w:val="20"/>
          <w:szCs w:val="20"/>
        </w:rPr>
        <w:t>we may suggest you do targeted advocacy during virtual meetings to support food assistance and refundable tax credits for low-income workers and families</w:t>
      </w:r>
    </w:p>
    <w:p w14:paraId="14D12516" w14:textId="77777777" w:rsidR="000471FE" w:rsidRPr="0080172D" w:rsidRDefault="000471FE" w:rsidP="000471FE">
      <w:pPr>
        <w:spacing w:after="200" w:line="276" w:lineRule="auto"/>
        <w:rPr>
          <w:rFonts w:ascii="Open Sans" w:hAnsi="Open Sans" w:cs="Open Sans"/>
          <w:bCs/>
          <w:color w:val="D50032"/>
          <w:sz w:val="32"/>
          <w:szCs w:val="32"/>
        </w:rPr>
      </w:pPr>
      <w:r w:rsidRPr="0080172D">
        <w:rPr>
          <w:rFonts w:ascii="Open Sans" w:hAnsi="Open Sans" w:cs="Open Sans"/>
          <w:bCs/>
          <w:color w:val="D50032"/>
          <w:sz w:val="32"/>
          <w:szCs w:val="32"/>
        </w:rPr>
        <w:t>This policy overview includes background on:</w:t>
      </w:r>
    </w:p>
    <w:sdt>
      <w:sdtPr>
        <w:rPr>
          <w:rFonts w:asciiTheme="minorHAnsi" w:eastAsiaTheme="minorHAnsi" w:hAnsiTheme="minorHAnsi" w:cstheme="minorBidi"/>
          <w:color w:val="auto"/>
          <w:sz w:val="2"/>
          <w:szCs w:val="2"/>
        </w:rPr>
        <w:id w:val="-1146048314"/>
        <w:docPartObj>
          <w:docPartGallery w:val="Table of Contents"/>
          <w:docPartUnique/>
        </w:docPartObj>
      </w:sdtPr>
      <w:sdtEndPr>
        <w:rPr>
          <w:b/>
          <w:bCs/>
          <w:noProof/>
        </w:rPr>
      </w:sdtEndPr>
      <w:sdtContent>
        <w:p w14:paraId="6E4CF040" w14:textId="4B00D4CC" w:rsidR="000B4FDC" w:rsidRPr="0080172D" w:rsidRDefault="000B4FDC">
          <w:pPr>
            <w:pStyle w:val="TOCHeading"/>
            <w:rPr>
              <w:sz w:val="2"/>
              <w:szCs w:val="2"/>
            </w:rPr>
          </w:pPr>
        </w:p>
        <w:p w14:paraId="138C0619" w14:textId="380F4D9A" w:rsidR="000B4FDC" w:rsidRPr="0080172D" w:rsidRDefault="000B4FDC">
          <w:pPr>
            <w:pStyle w:val="TOC2"/>
            <w:tabs>
              <w:tab w:val="right" w:leader="dot" w:pos="9350"/>
            </w:tabs>
            <w:rPr>
              <w:noProof/>
            </w:rPr>
          </w:pPr>
          <w:r w:rsidRPr="0080172D">
            <w:fldChar w:fldCharType="begin"/>
          </w:r>
          <w:r w:rsidRPr="0080172D">
            <w:instrText xml:space="preserve"> TOC \o "1-3" \h \z \u </w:instrText>
          </w:r>
          <w:r w:rsidRPr="0080172D">
            <w:fldChar w:fldCharType="separate"/>
          </w:r>
          <w:hyperlink w:anchor="_Toc42319532" w:history="1">
            <w:r w:rsidRPr="0080172D">
              <w:rPr>
                <w:rStyle w:val="Hyperlink"/>
                <w:rFonts w:ascii="Open Sans" w:eastAsia="MS Mincho" w:hAnsi="Open Sans" w:cs="Open Sans"/>
                <w:noProof/>
                <w:u w:val="none"/>
              </w:rPr>
              <w:t>Background on Our Underlying Affordable Housing Crisis</w:t>
            </w:r>
            <w:r w:rsidRPr="0080172D">
              <w:rPr>
                <w:noProof/>
                <w:webHidden/>
              </w:rPr>
              <w:tab/>
            </w:r>
            <w:r w:rsidRPr="0080172D">
              <w:rPr>
                <w:noProof/>
                <w:webHidden/>
              </w:rPr>
              <w:fldChar w:fldCharType="begin"/>
            </w:r>
            <w:r w:rsidRPr="0080172D">
              <w:rPr>
                <w:noProof/>
                <w:webHidden/>
              </w:rPr>
              <w:instrText xml:space="preserve"> PAGEREF _Toc42319532 \h </w:instrText>
            </w:r>
            <w:r w:rsidRPr="0080172D">
              <w:rPr>
                <w:noProof/>
                <w:webHidden/>
              </w:rPr>
            </w:r>
            <w:r w:rsidRPr="0080172D">
              <w:rPr>
                <w:noProof/>
                <w:webHidden/>
              </w:rPr>
              <w:fldChar w:fldCharType="separate"/>
            </w:r>
            <w:r w:rsidR="00524D43">
              <w:rPr>
                <w:noProof/>
                <w:webHidden/>
              </w:rPr>
              <w:t>2</w:t>
            </w:r>
            <w:r w:rsidRPr="0080172D">
              <w:rPr>
                <w:noProof/>
                <w:webHidden/>
              </w:rPr>
              <w:fldChar w:fldCharType="end"/>
            </w:r>
          </w:hyperlink>
        </w:p>
        <w:p w14:paraId="7DD2B8C2" w14:textId="4A4D3F9E" w:rsidR="000B4FDC" w:rsidRPr="0080172D" w:rsidRDefault="00313B28">
          <w:pPr>
            <w:pStyle w:val="TOC2"/>
            <w:tabs>
              <w:tab w:val="right" w:leader="dot" w:pos="9350"/>
            </w:tabs>
            <w:rPr>
              <w:noProof/>
            </w:rPr>
          </w:pPr>
          <w:hyperlink w:anchor="_Toc42319533" w:history="1">
            <w:r w:rsidR="000B4FDC" w:rsidRPr="0080172D">
              <w:rPr>
                <w:rStyle w:val="Hyperlink"/>
                <w:rFonts w:ascii="Open Sans" w:eastAsia="Times New Roman" w:hAnsi="Open Sans" w:cs="Open Sans"/>
                <w:noProof/>
                <w:u w:val="none"/>
              </w:rPr>
              <w:t>Housing Crisis During a Pandemic</w:t>
            </w:r>
            <w:r w:rsidR="000B4FDC" w:rsidRPr="0080172D">
              <w:rPr>
                <w:noProof/>
                <w:webHidden/>
              </w:rPr>
              <w:tab/>
            </w:r>
            <w:r w:rsidR="000B4FDC" w:rsidRPr="0080172D">
              <w:rPr>
                <w:noProof/>
                <w:webHidden/>
              </w:rPr>
              <w:fldChar w:fldCharType="begin"/>
            </w:r>
            <w:r w:rsidR="000B4FDC" w:rsidRPr="0080172D">
              <w:rPr>
                <w:noProof/>
                <w:webHidden/>
              </w:rPr>
              <w:instrText xml:space="preserve"> PAGEREF _Toc42319533 \h </w:instrText>
            </w:r>
            <w:r w:rsidR="000B4FDC" w:rsidRPr="0080172D">
              <w:rPr>
                <w:noProof/>
                <w:webHidden/>
              </w:rPr>
            </w:r>
            <w:r w:rsidR="000B4FDC" w:rsidRPr="0080172D">
              <w:rPr>
                <w:noProof/>
                <w:webHidden/>
              </w:rPr>
              <w:fldChar w:fldCharType="separate"/>
            </w:r>
            <w:r w:rsidR="00524D43">
              <w:rPr>
                <w:noProof/>
                <w:webHidden/>
              </w:rPr>
              <w:t>3</w:t>
            </w:r>
            <w:r w:rsidR="000B4FDC" w:rsidRPr="0080172D">
              <w:rPr>
                <w:noProof/>
                <w:webHidden/>
              </w:rPr>
              <w:fldChar w:fldCharType="end"/>
            </w:r>
          </w:hyperlink>
        </w:p>
        <w:p w14:paraId="1806D5DA" w14:textId="40441237" w:rsidR="000B4FDC" w:rsidRPr="0080172D" w:rsidRDefault="00313B28">
          <w:pPr>
            <w:pStyle w:val="TOC2"/>
            <w:tabs>
              <w:tab w:val="right" w:leader="dot" w:pos="9350"/>
            </w:tabs>
            <w:rPr>
              <w:noProof/>
            </w:rPr>
          </w:pPr>
          <w:hyperlink w:anchor="_Toc42319534" w:history="1">
            <w:r w:rsidR="000B4FDC" w:rsidRPr="0080172D">
              <w:rPr>
                <w:rStyle w:val="Hyperlink"/>
                <w:rFonts w:ascii="Open Sans" w:hAnsi="Open Sans" w:cs="Open Sans"/>
                <w:noProof/>
                <w:u w:val="none"/>
              </w:rPr>
              <w:t>Food Assistance During a Pandemic</w:t>
            </w:r>
            <w:r w:rsidR="000B4FDC" w:rsidRPr="0080172D">
              <w:rPr>
                <w:noProof/>
                <w:webHidden/>
              </w:rPr>
              <w:tab/>
            </w:r>
            <w:r w:rsidR="000B4FDC" w:rsidRPr="0080172D">
              <w:rPr>
                <w:noProof/>
                <w:webHidden/>
              </w:rPr>
              <w:fldChar w:fldCharType="begin"/>
            </w:r>
            <w:r w:rsidR="000B4FDC" w:rsidRPr="0080172D">
              <w:rPr>
                <w:noProof/>
                <w:webHidden/>
              </w:rPr>
              <w:instrText xml:space="preserve"> PAGEREF _Toc42319534 \h </w:instrText>
            </w:r>
            <w:r w:rsidR="000B4FDC" w:rsidRPr="0080172D">
              <w:rPr>
                <w:noProof/>
                <w:webHidden/>
              </w:rPr>
            </w:r>
            <w:r w:rsidR="000B4FDC" w:rsidRPr="0080172D">
              <w:rPr>
                <w:noProof/>
                <w:webHidden/>
              </w:rPr>
              <w:fldChar w:fldCharType="separate"/>
            </w:r>
            <w:r w:rsidR="00524D43">
              <w:rPr>
                <w:noProof/>
                <w:webHidden/>
              </w:rPr>
              <w:t>7</w:t>
            </w:r>
            <w:r w:rsidR="000B4FDC" w:rsidRPr="0080172D">
              <w:rPr>
                <w:noProof/>
                <w:webHidden/>
              </w:rPr>
              <w:fldChar w:fldCharType="end"/>
            </w:r>
          </w:hyperlink>
        </w:p>
        <w:p w14:paraId="5946CAE9" w14:textId="376C0D6E" w:rsidR="000B4FDC" w:rsidRPr="0080172D" w:rsidRDefault="00313B28">
          <w:pPr>
            <w:pStyle w:val="TOC2"/>
            <w:tabs>
              <w:tab w:val="right" w:leader="dot" w:pos="9350"/>
            </w:tabs>
            <w:rPr>
              <w:noProof/>
            </w:rPr>
          </w:pPr>
          <w:hyperlink w:anchor="_Toc42319535" w:history="1">
            <w:r w:rsidR="000B4FDC" w:rsidRPr="0080172D">
              <w:rPr>
                <w:rStyle w:val="Hyperlink"/>
                <w:rFonts w:ascii="Open Sans" w:hAnsi="Open Sans" w:cs="Open Sans"/>
                <w:noProof/>
                <w:u w:val="none"/>
              </w:rPr>
              <w:t>Background on Tax Credits for Low-Income Workers and Families</w:t>
            </w:r>
            <w:r w:rsidR="000B4FDC" w:rsidRPr="0080172D">
              <w:rPr>
                <w:noProof/>
                <w:webHidden/>
              </w:rPr>
              <w:tab/>
            </w:r>
            <w:r w:rsidR="000B4FDC" w:rsidRPr="0080172D">
              <w:rPr>
                <w:noProof/>
                <w:webHidden/>
              </w:rPr>
              <w:fldChar w:fldCharType="begin"/>
            </w:r>
            <w:r w:rsidR="000B4FDC" w:rsidRPr="0080172D">
              <w:rPr>
                <w:noProof/>
                <w:webHidden/>
              </w:rPr>
              <w:instrText xml:space="preserve"> PAGEREF _Toc42319535 \h </w:instrText>
            </w:r>
            <w:r w:rsidR="000B4FDC" w:rsidRPr="0080172D">
              <w:rPr>
                <w:noProof/>
                <w:webHidden/>
              </w:rPr>
            </w:r>
            <w:r w:rsidR="000B4FDC" w:rsidRPr="0080172D">
              <w:rPr>
                <w:noProof/>
                <w:webHidden/>
              </w:rPr>
              <w:fldChar w:fldCharType="separate"/>
            </w:r>
            <w:r w:rsidR="00524D43">
              <w:rPr>
                <w:noProof/>
                <w:webHidden/>
              </w:rPr>
              <w:t>10</w:t>
            </w:r>
            <w:r w:rsidR="000B4FDC" w:rsidRPr="0080172D">
              <w:rPr>
                <w:noProof/>
                <w:webHidden/>
              </w:rPr>
              <w:fldChar w:fldCharType="end"/>
            </w:r>
          </w:hyperlink>
        </w:p>
        <w:p w14:paraId="0BE327C3" w14:textId="4831CA90" w:rsidR="000B4FDC" w:rsidRPr="0080172D" w:rsidRDefault="00313B28">
          <w:pPr>
            <w:pStyle w:val="TOC2"/>
            <w:tabs>
              <w:tab w:val="right" w:leader="dot" w:pos="9350"/>
            </w:tabs>
            <w:rPr>
              <w:noProof/>
            </w:rPr>
          </w:pPr>
          <w:hyperlink w:anchor="_Toc42319536" w:history="1">
            <w:r w:rsidR="000B4FDC" w:rsidRPr="0080172D">
              <w:rPr>
                <w:rStyle w:val="Hyperlink"/>
                <w:rFonts w:ascii="Open Sans" w:hAnsi="Open Sans" w:cs="Open Sans"/>
                <w:noProof/>
                <w:u w:val="none"/>
              </w:rPr>
              <w:t>Expanding the EITC and CTC in This Economic Crisis</w:t>
            </w:r>
            <w:r w:rsidR="000B4FDC" w:rsidRPr="0080172D">
              <w:rPr>
                <w:noProof/>
                <w:webHidden/>
              </w:rPr>
              <w:tab/>
            </w:r>
            <w:r w:rsidR="000B4FDC" w:rsidRPr="0080172D">
              <w:rPr>
                <w:noProof/>
                <w:webHidden/>
              </w:rPr>
              <w:fldChar w:fldCharType="begin"/>
            </w:r>
            <w:r w:rsidR="000B4FDC" w:rsidRPr="0080172D">
              <w:rPr>
                <w:noProof/>
                <w:webHidden/>
              </w:rPr>
              <w:instrText xml:space="preserve"> PAGEREF _Toc42319536 \h </w:instrText>
            </w:r>
            <w:r w:rsidR="000B4FDC" w:rsidRPr="0080172D">
              <w:rPr>
                <w:noProof/>
                <w:webHidden/>
              </w:rPr>
            </w:r>
            <w:r w:rsidR="000B4FDC" w:rsidRPr="0080172D">
              <w:rPr>
                <w:noProof/>
                <w:webHidden/>
              </w:rPr>
              <w:fldChar w:fldCharType="separate"/>
            </w:r>
            <w:r w:rsidR="00524D43">
              <w:rPr>
                <w:noProof/>
                <w:webHidden/>
              </w:rPr>
              <w:t>12</w:t>
            </w:r>
            <w:r w:rsidR="000B4FDC" w:rsidRPr="0080172D">
              <w:rPr>
                <w:noProof/>
                <w:webHidden/>
              </w:rPr>
              <w:fldChar w:fldCharType="end"/>
            </w:r>
          </w:hyperlink>
        </w:p>
        <w:p w14:paraId="7F8B0F26" w14:textId="6234FCA2" w:rsidR="000471FE" w:rsidRPr="0080172D" w:rsidRDefault="000B4FDC" w:rsidP="0080172D">
          <w:pPr>
            <w:rPr>
              <w:sz w:val="2"/>
              <w:szCs w:val="2"/>
            </w:rPr>
          </w:pPr>
          <w:r w:rsidRPr="0080172D">
            <w:rPr>
              <w:b/>
              <w:bCs/>
              <w:noProof/>
            </w:rPr>
            <w:fldChar w:fldCharType="end"/>
          </w:r>
        </w:p>
      </w:sdtContent>
    </w:sdt>
    <w:p w14:paraId="69E82E49" w14:textId="55FFD981" w:rsidR="00526180" w:rsidRPr="0080172D" w:rsidRDefault="00526180" w:rsidP="0080172D">
      <w:pPr>
        <w:pStyle w:val="Heading2"/>
        <w:rPr>
          <w:rFonts w:ascii="Open Sans" w:eastAsia="MS Mincho" w:hAnsi="Open Sans" w:cs="Open Sans"/>
          <w:color w:val="C00000"/>
          <w:sz w:val="32"/>
          <w:szCs w:val="32"/>
        </w:rPr>
      </w:pPr>
      <w:bookmarkStart w:id="2" w:name="_Toc42319532"/>
      <w:r w:rsidRPr="0080172D">
        <w:rPr>
          <w:rFonts w:ascii="Open Sans" w:eastAsia="MS Mincho" w:hAnsi="Open Sans" w:cs="Open Sans"/>
          <w:color w:val="C00000"/>
          <w:sz w:val="32"/>
          <w:szCs w:val="32"/>
        </w:rPr>
        <w:lastRenderedPageBreak/>
        <w:t>Background on Federal Housing Programs and Our Underlying Affordable Housing Crisis</w:t>
      </w:r>
      <w:bookmarkEnd w:id="2"/>
    </w:p>
    <w:p w14:paraId="0B449D36" w14:textId="625394DA" w:rsidR="00526180" w:rsidRPr="0080172D" w:rsidRDefault="00526180" w:rsidP="00BF7E72">
      <w:pPr>
        <w:shd w:val="clear" w:color="auto" w:fill="FFFFFF" w:themeFill="background1"/>
        <w:spacing w:after="200" w:line="276" w:lineRule="auto"/>
        <w:rPr>
          <w:rFonts w:ascii="Open Sans" w:eastAsia="Times New Roman" w:hAnsi="Open Sans" w:cs="Open Sans"/>
          <w:b/>
          <w:bCs/>
          <w:color w:val="212529"/>
          <w:sz w:val="20"/>
          <w:szCs w:val="20"/>
        </w:rPr>
      </w:pPr>
      <w:r w:rsidRPr="0080172D">
        <w:rPr>
          <w:rFonts w:ascii="Open Sans" w:eastAsia="Times New Roman" w:hAnsi="Open Sans" w:cs="Open Sans"/>
          <w:color w:val="212529"/>
          <w:sz w:val="20"/>
          <w:szCs w:val="20"/>
        </w:rPr>
        <w:t>The U.S. government has a long history of policies that directly or indirectly blocked or built wealth via housing and beyond</w:t>
      </w:r>
      <w:r w:rsidR="00E0127D" w:rsidRPr="0080172D">
        <w:rPr>
          <w:rFonts w:ascii="Open Sans" w:eastAsia="Times New Roman" w:hAnsi="Open Sans" w:cs="Open Sans"/>
          <w:color w:val="212529"/>
          <w:sz w:val="20"/>
          <w:szCs w:val="20"/>
        </w:rPr>
        <w:t xml:space="preserve"> (see the</w:t>
      </w:r>
      <w:r w:rsidR="00E0127D" w:rsidRPr="0080172D">
        <w:rPr>
          <w:rFonts w:ascii="Open Sans" w:eastAsia="Helvetica" w:hAnsi="Open Sans" w:cs="Open Sans"/>
          <w:sz w:val="20"/>
          <w:szCs w:val="20"/>
        </w:rPr>
        <w:t xml:space="preserve"> </w:t>
      </w:r>
      <w:hyperlink r:id="rId12" w:history="1">
        <w:r w:rsidR="00E0127D" w:rsidRPr="0080172D">
          <w:rPr>
            <w:rStyle w:val="Hyperlink"/>
            <w:rFonts w:ascii="Open Sans" w:eastAsia="Helvetica" w:hAnsi="Open Sans" w:cs="Open Sans"/>
            <w:sz w:val="20"/>
            <w:szCs w:val="20"/>
            <w:u w:val="none"/>
          </w:rPr>
          <w:t>2019 RESULTS U.S. Poverty Campaigns background packets</w:t>
        </w:r>
      </w:hyperlink>
      <w:r w:rsidR="00E0127D" w:rsidRPr="0080172D">
        <w:rPr>
          <w:rFonts w:ascii="Open Sans" w:eastAsia="Helvetica" w:hAnsi="Open Sans" w:cs="Open Sans"/>
          <w:sz w:val="20"/>
          <w:szCs w:val="20"/>
        </w:rPr>
        <w:t xml:space="preserve"> for </w:t>
      </w:r>
      <w:r w:rsidR="00827316" w:rsidRPr="0080172D">
        <w:rPr>
          <w:rFonts w:ascii="Open Sans" w:eastAsia="Helvetica" w:hAnsi="Open Sans" w:cs="Open Sans"/>
          <w:sz w:val="20"/>
          <w:szCs w:val="20"/>
        </w:rPr>
        <w:t>a more thorough overview of this history</w:t>
      </w:r>
      <w:r w:rsidR="00827316" w:rsidRPr="0080172D">
        <w:rPr>
          <w:rStyle w:val="FootnoteReference"/>
          <w:rFonts w:ascii="Open Sans" w:hAnsi="Open Sans" w:cs="Open Sans"/>
          <w:sz w:val="20"/>
          <w:szCs w:val="20"/>
        </w:rPr>
        <w:footnoteReference w:id="4"/>
      </w:r>
      <w:r w:rsidR="00827316" w:rsidRPr="0080172D">
        <w:rPr>
          <w:rFonts w:ascii="Open Sans" w:eastAsia="Helvetica" w:hAnsi="Open Sans" w:cs="Open Sans"/>
          <w:sz w:val="20"/>
          <w:szCs w:val="20"/>
        </w:rPr>
        <w:t>)</w:t>
      </w:r>
      <w:r w:rsidR="00E0127D" w:rsidRPr="0080172D">
        <w:rPr>
          <w:rFonts w:ascii="Open Sans" w:eastAsia="Helvetica" w:hAnsi="Open Sans" w:cs="Open Sans"/>
          <w:sz w:val="20"/>
          <w:szCs w:val="20"/>
        </w:rPr>
        <w:t>.</w:t>
      </w:r>
      <w:r w:rsidR="00E0127D" w:rsidRPr="0080172D">
        <w:rPr>
          <w:rFonts w:ascii="Helvetica" w:eastAsia="Helvetica" w:hAnsi="Helvetica" w:cs="Helvetica"/>
        </w:rPr>
        <w:t xml:space="preserve"> </w:t>
      </w:r>
      <w:r w:rsidRPr="0080172D">
        <w:rPr>
          <w:rFonts w:ascii="Open Sans" w:eastAsia="Times New Roman" w:hAnsi="Open Sans" w:cs="Open Sans"/>
          <w:color w:val="212529"/>
          <w:sz w:val="20"/>
          <w:szCs w:val="20"/>
        </w:rPr>
        <w:t xml:space="preserve">Currently housing assistance is provided for 10 million people in over 5 million households. </w:t>
      </w:r>
      <w:r w:rsidRPr="0080172D">
        <w:rPr>
          <w:rFonts w:ascii="Open Sans" w:eastAsia="Times New Roman" w:hAnsi="Open Sans" w:cs="Open Sans"/>
          <w:b/>
          <w:bCs/>
          <w:color w:val="212529"/>
          <w:sz w:val="20"/>
          <w:szCs w:val="20"/>
        </w:rPr>
        <w:t>In 2018, housing assistance alone lifted 3 million people out of poverty.</w:t>
      </w:r>
      <w:r w:rsidR="00FA332C" w:rsidRPr="0080172D">
        <w:rPr>
          <w:rStyle w:val="FootnoteReference"/>
          <w:rFonts w:ascii="Open Sans" w:hAnsi="Open Sans" w:cs="Open Sans"/>
          <w:sz w:val="20"/>
          <w:szCs w:val="20"/>
        </w:rPr>
        <w:footnoteReference w:id="5"/>
      </w:r>
    </w:p>
    <w:p w14:paraId="624FC94D" w14:textId="6E0EEBDD" w:rsidR="00526180" w:rsidRPr="0080172D" w:rsidRDefault="00993059" w:rsidP="00BF7E72">
      <w:pPr>
        <w:shd w:val="clear" w:color="auto" w:fill="FFFFFF" w:themeFill="background1"/>
        <w:spacing w:after="200" w:line="276" w:lineRule="auto"/>
        <w:rPr>
          <w:rFonts w:ascii="Open Sans" w:eastAsia="Times New Roman" w:hAnsi="Open Sans" w:cs="Open Sans"/>
          <w:color w:val="212529"/>
          <w:sz w:val="20"/>
          <w:szCs w:val="20"/>
        </w:rPr>
      </w:pPr>
      <w:r w:rsidRPr="0080172D">
        <w:rPr>
          <w:rFonts w:ascii="Open Sans" w:eastAsia="Times New Roman" w:hAnsi="Open Sans" w:cs="Open Sans"/>
          <w:noProof/>
          <w:color w:val="C00000"/>
          <w:sz w:val="32"/>
          <w:szCs w:val="32"/>
        </w:rPr>
        <w:drawing>
          <wp:anchor distT="0" distB="0" distL="114300" distR="114300" simplePos="0" relativeHeight="251670016" behindDoc="0" locked="0" layoutInCell="1" allowOverlap="1" wp14:anchorId="16BAA35D" wp14:editId="2C2BC16A">
            <wp:simplePos x="0" y="0"/>
            <wp:positionH relativeFrom="column">
              <wp:posOffset>-44611</wp:posOffset>
            </wp:positionH>
            <wp:positionV relativeFrom="paragraph">
              <wp:posOffset>475414</wp:posOffset>
            </wp:positionV>
            <wp:extent cx="5951220" cy="1741170"/>
            <wp:effectExtent l="19050" t="19050" r="11430" b="11430"/>
            <wp:wrapTopAndBottom/>
            <wp:docPr id="1578670084"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670084" name="Picture 2" descr="A screenshot of a cell phone&#10;&#10;Description automatically generated"/>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951220" cy="1741170"/>
                    </a:xfrm>
                    <a:prstGeom prst="rect">
                      <a:avLst/>
                    </a:prstGeom>
                    <a:ln w="12700">
                      <a:solidFill>
                        <a:schemeClr val="tx1"/>
                      </a:solidFill>
                    </a:ln>
                  </pic:spPr>
                </pic:pic>
              </a:graphicData>
            </a:graphic>
          </wp:anchor>
        </w:drawing>
      </w:r>
      <w:r w:rsidR="00526180" w:rsidRPr="0080172D">
        <w:rPr>
          <w:rFonts w:ascii="Open Sans" w:eastAsia="Times New Roman" w:hAnsi="Open Sans" w:cs="Open Sans"/>
          <w:color w:val="212529"/>
          <w:sz w:val="20"/>
          <w:szCs w:val="20"/>
        </w:rPr>
        <w:t xml:space="preserve">The largest programs that support residents with </w:t>
      </w:r>
      <w:r w:rsidR="00BF7E72" w:rsidRPr="0080172D">
        <w:rPr>
          <w:rFonts w:ascii="Open Sans" w:eastAsia="Times New Roman" w:hAnsi="Open Sans" w:cs="Open Sans"/>
          <w:color w:val="212529"/>
          <w:sz w:val="20"/>
          <w:szCs w:val="20"/>
        </w:rPr>
        <w:t>low incomes</w:t>
      </w:r>
      <w:r w:rsidR="00526180" w:rsidRPr="0080172D">
        <w:rPr>
          <w:rFonts w:ascii="Open Sans" w:eastAsia="Times New Roman" w:hAnsi="Open Sans" w:cs="Open Sans"/>
          <w:color w:val="212529"/>
          <w:sz w:val="20"/>
          <w:szCs w:val="20"/>
        </w:rPr>
        <w:t xml:space="preserve"> are Section 8 housing choice vouchers, Section 8 project based rental assistance, and public housing</w:t>
      </w:r>
      <w:r w:rsidR="005D1094" w:rsidRPr="0080172D">
        <w:rPr>
          <w:rFonts w:ascii="Open Sans" w:eastAsia="Times New Roman" w:hAnsi="Open Sans" w:cs="Open Sans"/>
          <w:color w:val="212529"/>
          <w:sz w:val="20"/>
          <w:szCs w:val="20"/>
        </w:rPr>
        <w:t>.</w:t>
      </w:r>
      <w:r w:rsidR="005E0D05" w:rsidRPr="0080172D">
        <w:rPr>
          <w:rStyle w:val="FootnoteReference"/>
          <w:rFonts w:ascii="Open Sans" w:hAnsi="Open Sans" w:cs="Open Sans"/>
          <w:sz w:val="20"/>
          <w:szCs w:val="20"/>
        </w:rPr>
        <w:t xml:space="preserve"> </w:t>
      </w:r>
      <w:r w:rsidR="005E0D05" w:rsidRPr="0080172D">
        <w:rPr>
          <w:rStyle w:val="FootnoteReference"/>
          <w:rFonts w:ascii="Open Sans" w:hAnsi="Open Sans" w:cs="Open Sans"/>
          <w:sz w:val="20"/>
          <w:szCs w:val="20"/>
        </w:rPr>
        <w:footnoteReference w:id="6"/>
      </w:r>
    </w:p>
    <w:p w14:paraId="36BE2859" w14:textId="24EFFA9A" w:rsidR="00526180" w:rsidRPr="0080172D" w:rsidRDefault="00526180" w:rsidP="00A6392F">
      <w:pPr>
        <w:shd w:val="clear" w:color="auto" w:fill="FFFFFF"/>
        <w:spacing w:after="200" w:line="276" w:lineRule="auto"/>
        <w:rPr>
          <w:rFonts w:ascii="Open Sans" w:eastAsia="Times New Roman" w:hAnsi="Open Sans" w:cs="Open Sans"/>
          <w:color w:val="212529"/>
          <w:sz w:val="20"/>
          <w:szCs w:val="20"/>
        </w:rPr>
      </w:pPr>
      <w:commentRangeStart w:id="3"/>
      <w:commentRangeStart w:id="4"/>
      <w:commentRangeEnd w:id="3"/>
      <w:commentRangeEnd w:id="4"/>
      <w:r w:rsidRPr="0080172D" w:rsidDel="00D05D70">
        <w:rPr>
          <w:rFonts w:ascii="Open Sans" w:eastAsia="Times New Roman" w:hAnsi="Open Sans" w:cs="Open Sans"/>
          <w:color w:val="212529"/>
          <w:sz w:val="20"/>
          <w:szCs w:val="20"/>
        </w:rPr>
        <w:t xml:space="preserve">Meanwhile, Americans’ income levels have not adjusted with the cost of living. </w:t>
      </w:r>
      <w:r w:rsidRPr="0080172D" w:rsidDel="00D05D70">
        <w:rPr>
          <w:rFonts w:ascii="Open Sans" w:eastAsia="Times New Roman" w:hAnsi="Open Sans" w:cs="Open Sans"/>
          <w:b/>
          <w:bCs/>
          <w:color w:val="212529"/>
          <w:sz w:val="20"/>
          <w:szCs w:val="20"/>
        </w:rPr>
        <w:t>Since 1960, </w:t>
      </w:r>
      <w:r w:rsidRPr="0080172D" w:rsidDel="00D05D70">
        <w:rPr>
          <w:rFonts w:ascii="Open Sans" w:eastAsia="Times New Roman" w:hAnsi="Open Sans" w:cs="Open Sans"/>
          <w:b/>
          <w:bCs/>
          <w:sz w:val="20"/>
          <w:szCs w:val="20"/>
        </w:rPr>
        <w:t>renters’ median earnings have gone up 5 percent </w:t>
      </w:r>
      <w:r w:rsidRPr="0080172D" w:rsidDel="00D05D70">
        <w:rPr>
          <w:rFonts w:ascii="Open Sans" w:eastAsia="Times New Roman" w:hAnsi="Open Sans" w:cs="Open Sans"/>
          <w:b/>
          <w:bCs/>
          <w:color w:val="212529"/>
          <w:sz w:val="20"/>
          <w:szCs w:val="20"/>
        </w:rPr>
        <w:t>while rent payment are up 61 percent.</w:t>
      </w:r>
      <w:r w:rsidR="0039008C" w:rsidRPr="0080172D">
        <w:rPr>
          <w:rStyle w:val="FootnoteReference"/>
          <w:rFonts w:ascii="Open Sans" w:hAnsi="Open Sans" w:cs="Open Sans"/>
          <w:sz w:val="20"/>
          <w:szCs w:val="20"/>
        </w:rPr>
        <w:t xml:space="preserve"> </w:t>
      </w:r>
      <w:r w:rsidR="0039008C" w:rsidRPr="0080172D">
        <w:rPr>
          <w:rStyle w:val="FootnoteReference"/>
          <w:rFonts w:ascii="Open Sans" w:hAnsi="Open Sans" w:cs="Open Sans"/>
          <w:sz w:val="20"/>
          <w:szCs w:val="20"/>
        </w:rPr>
        <w:footnoteReference w:id="7"/>
      </w:r>
      <w:r w:rsidRPr="0080172D" w:rsidDel="00D05D70">
        <w:rPr>
          <w:rFonts w:ascii="Open Sans" w:eastAsia="Times New Roman" w:hAnsi="Open Sans" w:cs="Open Sans"/>
          <w:color w:val="212529"/>
          <w:sz w:val="20"/>
          <w:szCs w:val="20"/>
        </w:rPr>
        <w:t xml:space="preserve"> </w:t>
      </w:r>
      <w:proofErr w:type="gramStart"/>
      <w:r w:rsidRPr="0080172D">
        <w:rPr>
          <w:rFonts w:ascii="Open Sans" w:eastAsia="Times New Roman" w:hAnsi="Open Sans" w:cs="Open Sans"/>
          <w:color w:val="212529"/>
          <w:sz w:val="20"/>
          <w:szCs w:val="20"/>
        </w:rPr>
        <w:t>This leaves</w:t>
      </w:r>
      <w:proofErr w:type="gramEnd"/>
      <w:r w:rsidRPr="0080172D">
        <w:rPr>
          <w:rFonts w:ascii="Open Sans" w:eastAsia="Times New Roman" w:hAnsi="Open Sans" w:cs="Open Sans"/>
          <w:color w:val="212529"/>
          <w:sz w:val="20"/>
          <w:szCs w:val="20"/>
        </w:rPr>
        <w:t xml:space="preserve"> 18 million lower-income renters paying more than 30 percent of their income on rental cost, qualifying them as housing cost burdened.</w:t>
      </w:r>
      <w:r w:rsidR="001072BE" w:rsidRPr="0080172D">
        <w:rPr>
          <w:rFonts w:ascii="Open Sans" w:eastAsia="Times New Roman" w:hAnsi="Open Sans" w:cs="Open Sans"/>
          <w:color w:val="212529"/>
          <w:sz w:val="20"/>
          <w:szCs w:val="20"/>
        </w:rPr>
        <w:t xml:space="preserve"> </w:t>
      </w:r>
      <w:r w:rsidRPr="0080172D">
        <w:rPr>
          <w:rFonts w:ascii="Open Sans" w:eastAsia="Times New Roman" w:hAnsi="Open Sans" w:cs="Open Sans"/>
          <w:color w:val="212529"/>
          <w:sz w:val="20"/>
          <w:szCs w:val="20"/>
        </w:rPr>
        <w:t xml:space="preserve">When households must pay high housing costs, resources for the other necessities like food, transportation, and health care are cut. These households cannot save for things like a home, which is their best shot at building wealth. </w:t>
      </w:r>
      <w:r w:rsidRPr="0080172D">
        <w:rPr>
          <w:rFonts w:ascii="Open Sans" w:eastAsia="Times New Roman" w:hAnsi="Open Sans" w:cs="Open Sans"/>
          <w:color w:val="000000" w:themeColor="text1"/>
          <w:sz w:val="20"/>
          <w:szCs w:val="20"/>
        </w:rPr>
        <w:t xml:space="preserve">Yet, </w:t>
      </w:r>
      <w:r w:rsidRPr="0080172D">
        <w:rPr>
          <w:rFonts w:ascii="Open Sans" w:eastAsia="Times New Roman" w:hAnsi="Open Sans" w:cs="Open Sans"/>
          <w:b/>
          <w:bCs/>
          <w:color w:val="000000" w:themeColor="text1"/>
          <w:sz w:val="20"/>
          <w:szCs w:val="20"/>
        </w:rPr>
        <w:t>some households pay half or more of their income on rent</w:t>
      </w:r>
      <w:r w:rsidRPr="0080172D">
        <w:rPr>
          <w:rFonts w:ascii="Open Sans" w:eastAsia="Times New Roman" w:hAnsi="Open Sans" w:cs="Open Sans"/>
          <w:color w:val="000000" w:themeColor="text1"/>
          <w:sz w:val="20"/>
          <w:szCs w:val="20"/>
        </w:rPr>
        <w:t xml:space="preserve"> — these households qualify as severely housing cost burdened. Severely-cost burdened renters are more likely to have a household income at the poverty line or below 30 percent of the area median income (these households are identified as extremely low-income). </w:t>
      </w:r>
      <w:r w:rsidRPr="0080172D">
        <w:rPr>
          <w:rFonts w:ascii="Open Sans" w:eastAsia="Times New Roman" w:hAnsi="Open Sans" w:cs="Open Sans"/>
          <w:b/>
          <w:bCs/>
          <w:color w:val="000000" w:themeColor="text1"/>
          <w:sz w:val="20"/>
          <w:szCs w:val="20"/>
        </w:rPr>
        <w:t>Seventy-one percent of extremely low-income households pay more than half their income on rental costs</w:t>
      </w:r>
      <w:r w:rsidRPr="0080172D">
        <w:rPr>
          <w:rFonts w:ascii="Open Sans" w:eastAsia="Times New Roman" w:hAnsi="Open Sans" w:cs="Open Sans"/>
          <w:b/>
          <w:color w:val="000000" w:themeColor="text1"/>
          <w:sz w:val="20"/>
          <w:szCs w:val="20"/>
        </w:rPr>
        <w:t xml:space="preserve"> </w:t>
      </w:r>
      <w:r w:rsidRPr="0080172D">
        <w:rPr>
          <w:rFonts w:ascii="Open Sans" w:eastAsia="Times New Roman" w:hAnsi="Open Sans" w:cs="Open Sans"/>
          <w:b/>
          <w:bCs/>
          <w:color w:val="000000" w:themeColor="text1"/>
          <w:sz w:val="20"/>
          <w:szCs w:val="20"/>
        </w:rPr>
        <w:t xml:space="preserve">and households of color are more likely to qualify as </w:t>
      </w:r>
      <w:r w:rsidR="002823D8" w:rsidRPr="0080172D">
        <w:rPr>
          <w:rFonts w:ascii="Open Sans" w:eastAsia="Times New Roman" w:hAnsi="Open Sans" w:cs="Open Sans"/>
          <w:noProof/>
          <w:color w:val="212529"/>
          <w:sz w:val="20"/>
          <w:szCs w:val="20"/>
        </w:rPr>
        <w:lastRenderedPageBreak/>
        <w:drawing>
          <wp:anchor distT="0" distB="0" distL="114300" distR="114300" simplePos="0" relativeHeight="251636224" behindDoc="0" locked="0" layoutInCell="1" allowOverlap="1" wp14:anchorId="79B3AE5A" wp14:editId="53930F5A">
            <wp:simplePos x="0" y="0"/>
            <wp:positionH relativeFrom="margin">
              <wp:posOffset>2996565</wp:posOffset>
            </wp:positionH>
            <wp:positionV relativeFrom="margin">
              <wp:align>top</wp:align>
            </wp:positionV>
            <wp:extent cx="3569970" cy="2898140"/>
            <wp:effectExtent l="19050" t="19050" r="11430" b="16510"/>
            <wp:wrapSquare wrapText="bothSides"/>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speritynow.jpg"/>
                    <pic:cNvPicPr/>
                  </pic:nvPicPr>
                  <pic:blipFill rotWithShape="1">
                    <a:blip r:embed="rId14" cstate="print">
                      <a:extLst>
                        <a:ext uri="{28A0092B-C50C-407E-A947-70E740481C1C}">
                          <a14:useLocalDpi xmlns:a14="http://schemas.microsoft.com/office/drawing/2010/main" val="0"/>
                        </a:ext>
                      </a:extLst>
                    </a:blip>
                    <a:srcRect l="8395" t="10439" r="7117" b="20696"/>
                    <a:stretch/>
                  </pic:blipFill>
                  <pic:spPr bwMode="auto">
                    <a:xfrm>
                      <a:off x="0" y="0"/>
                      <a:ext cx="3569970" cy="2898140"/>
                    </a:xfrm>
                    <a:prstGeom prst="rect">
                      <a:avLst/>
                    </a:prstGeom>
                    <a:ln w="1270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0172D">
        <w:rPr>
          <w:rFonts w:ascii="Open Sans" w:eastAsia="Times New Roman" w:hAnsi="Open Sans" w:cs="Open Sans"/>
          <w:b/>
          <w:bCs/>
          <w:color w:val="000000" w:themeColor="text1"/>
          <w:sz w:val="20"/>
          <w:szCs w:val="20"/>
        </w:rPr>
        <w:t>extremely low-income</w:t>
      </w:r>
      <w:r w:rsidRPr="0080172D">
        <w:rPr>
          <w:rFonts w:ascii="Open Sans" w:eastAsia="Times New Roman" w:hAnsi="Open Sans" w:cs="Open Sans"/>
          <w:color w:val="000000" w:themeColor="text1"/>
          <w:sz w:val="20"/>
          <w:szCs w:val="20"/>
        </w:rPr>
        <w:t xml:space="preserve">. The figure </w:t>
      </w:r>
      <w:r w:rsidR="002823D8" w:rsidRPr="0080172D">
        <w:rPr>
          <w:rFonts w:ascii="Open Sans" w:eastAsia="Times New Roman" w:hAnsi="Open Sans" w:cs="Open Sans"/>
          <w:color w:val="000000" w:themeColor="text1"/>
          <w:sz w:val="20"/>
          <w:szCs w:val="20"/>
        </w:rPr>
        <w:t>at the right</w:t>
      </w:r>
      <w:r w:rsidR="00D04A98" w:rsidRPr="0080172D">
        <w:rPr>
          <w:rFonts w:ascii="Open Sans" w:eastAsia="Times New Roman" w:hAnsi="Open Sans" w:cs="Open Sans"/>
          <w:color w:val="000000" w:themeColor="text1"/>
          <w:sz w:val="20"/>
          <w:szCs w:val="20"/>
        </w:rPr>
        <w:t xml:space="preserve"> </w:t>
      </w:r>
      <w:r w:rsidRPr="0080172D">
        <w:rPr>
          <w:rFonts w:ascii="Open Sans" w:eastAsia="Times New Roman" w:hAnsi="Open Sans" w:cs="Open Sans"/>
          <w:color w:val="000000" w:themeColor="text1"/>
          <w:sz w:val="20"/>
          <w:szCs w:val="20"/>
        </w:rPr>
        <w:t>shows a further breakdown by race and ethnicity, with 54 percent of cost-burdened renters comprising of households of color.</w:t>
      </w:r>
      <w:r w:rsidR="00EF0F63" w:rsidRPr="0080172D">
        <w:rPr>
          <w:rStyle w:val="FootnoteReference"/>
          <w:rFonts w:ascii="Open Sans" w:hAnsi="Open Sans" w:cs="Open Sans"/>
          <w:sz w:val="20"/>
          <w:szCs w:val="20"/>
        </w:rPr>
        <w:t xml:space="preserve"> </w:t>
      </w:r>
      <w:r w:rsidR="00EF0F63" w:rsidRPr="0080172D">
        <w:rPr>
          <w:rStyle w:val="FootnoteReference"/>
          <w:rFonts w:ascii="Open Sans" w:hAnsi="Open Sans" w:cs="Open Sans"/>
          <w:sz w:val="20"/>
          <w:szCs w:val="20"/>
        </w:rPr>
        <w:footnoteReference w:id="8"/>
      </w:r>
    </w:p>
    <w:p w14:paraId="706C1FEF" w14:textId="4E9B401F" w:rsidR="00526180" w:rsidRPr="0080172D" w:rsidRDefault="00526180" w:rsidP="0080172D">
      <w:pPr>
        <w:pStyle w:val="Heading2"/>
        <w:rPr>
          <w:rFonts w:ascii="Open Sans" w:eastAsia="Times New Roman" w:hAnsi="Open Sans" w:cs="Open Sans"/>
          <w:color w:val="C00000"/>
          <w:sz w:val="32"/>
          <w:szCs w:val="32"/>
        </w:rPr>
      </w:pPr>
      <w:bookmarkStart w:id="5" w:name="_Toc42319533"/>
      <w:r w:rsidRPr="0080172D">
        <w:rPr>
          <w:rFonts w:ascii="Open Sans" w:eastAsia="Times New Roman" w:hAnsi="Open Sans" w:cs="Open Sans"/>
          <w:color w:val="C00000"/>
          <w:sz w:val="32"/>
          <w:szCs w:val="32"/>
        </w:rPr>
        <w:t>Housing Crisis During a Pandemic</w:t>
      </w:r>
      <w:bookmarkEnd w:id="5"/>
    </w:p>
    <w:p w14:paraId="71AF1E19" w14:textId="3FFDA3D6" w:rsidR="00D86751" w:rsidRPr="0080172D" w:rsidRDefault="00D86751" w:rsidP="00D86751">
      <w:pPr>
        <w:spacing w:after="200" w:line="276" w:lineRule="auto"/>
        <w:rPr>
          <w:rFonts w:ascii="Open Sans" w:eastAsia="MS Mincho" w:hAnsi="Open Sans" w:cs="Open Sans"/>
          <w:color w:val="000000" w:themeColor="text1"/>
          <w:sz w:val="20"/>
          <w:szCs w:val="20"/>
        </w:rPr>
      </w:pPr>
      <w:r w:rsidRPr="0080172D">
        <w:rPr>
          <w:rFonts w:ascii="Open Sans" w:eastAsia="MS Mincho" w:hAnsi="Open Sans" w:cs="Open Sans"/>
          <w:color w:val="000000" w:themeColor="text1"/>
          <w:sz w:val="20"/>
          <w:szCs w:val="20"/>
        </w:rPr>
        <w:t xml:space="preserve">Housing during the coronavirus pandemic is essential to ensuring the stop of the spread of the disease – and there are obvious challenges for people experiencing homelessness. </w:t>
      </w:r>
      <w:r w:rsidRPr="0080172D">
        <w:rPr>
          <w:rFonts w:ascii="Open Sans" w:eastAsia="Open Sans" w:hAnsi="Open Sans" w:cs="Open Sans"/>
          <w:sz w:val="20"/>
          <w:szCs w:val="20"/>
        </w:rPr>
        <w:t xml:space="preserve">In addition, </w:t>
      </w:r>
      <w:r w:rsidR="00993059" w:rsidRPr="0080172D">
        <w:rPr>
          <w:rFonts w:ascii="Open Sans" w:eastAsia="Open Sans" w:hAnsi="Open Sans" w:cs="Open Sans"/>
          <w:sz w:val="20"/>
          <w:szCs w:val="20"/>
        </w:rPr>
        <w:t xml:space="preserve">many </w:t>
      </w:r>
      <w:r w:rsidRPr="0080172D">
        <w:rPr>
          <w:rFonts w:ascii="Open Sans" w:eastAsia="Open Sans" w:hAnsi="Open Sans" w:cs="Open Sans"/>
          <w:sz w:val="20"/>
          <w:szCs w:val="20"/>
        </w:rPr>
        <w:t xml:space="preserve">low-income renters </w:t>
      </w:r>
      <w:r w:rsidR="00993059" w:rsidRPr="0080172D">
        <w:rPr>
          <w:rFonts w:ascii="Open Sans" w:eastAsia="Open Sans" w:hAnsi="Open Sans" w:cs="Open Sans"/>
          <w:sz w:val="20"/>
          <w:szCs w:val="20"/>
        </w:rPr>
        <w:t>work in hourly-wage service sector jobs</w:t>
      </w:r>
      <w:r w:rsidR="00AF50A1" w:rsidRPr="0080172D">
        <w:rPr>
          <w:rFonts w:ascii="Open Sans" w:eastAsia="Open Sans" w:hAnsi="Open Sans" w:cs="Open Sans"/>
          <w:sz w:val="20"/>
          <w:szCs w:val="20"/>
        </w:rPr>
        <w:t xml:space="preserve"> and have either lost th</w:t>
      </w:r>
      <w:r w:rsidR="00F127B1" w:rsidRPr="0080172D">
        <w:rPr>
          <w:rFonts w:ascii="Open Sans" w:eastAsia="Open Sans" w:hAnsi="Open Sans" w:cs="Open Sans"/>
          <w:sz w:val="20"/>
          <w:szCs w:val="20"/>
        </w:rPr>
        <w:t xml:space="preserve">eir employment or </w:t>
      </w:r>
      <w:r w:rsidR="00936E01" w:rsidRPr="0080172D">
        <w:rPr>
          <w:rFonts w:ascii="Open Sans" w:eastAsia="Open Sans" w:hAnsi="Open Sans" w:cs="Open Sans"/>
          <w:sz w:val="20"/>
          <w:szCs w:val="20"/>
        </w:rPr>
        <w:t>faced reduced work hours</w:t>
      </w:r>
      <w:r w:rsidR="00276E0E" w:rsidRPr="0080172D">
        <w:rPr>
          <w:rFonts w:ascii="Open Sans" w:eastAsia="Open Sans" w:hAnsi="Open Sans" w:cs="Open Sans"/>
          <w:sz w:val="20"/>
          <w:szCs w:val="20"/>
        </w:rPr>
        <w:t xml:space="preserve"> during the pandemic.</w:t>
      </w:r>
      <w:commentRangeStart w:id="6"/>
      <w:commentRangeEnd w:id="6"/>
      <w:r w:rsidR="00276E0E" w:rsidRPr="0080172D">
        <w:rPr>
          <w:rFonts w:ascii="Open Sans" w:eastAsia="Open Sans" w:hAnsi="Open Sans" w:cs="Open Sans"/>
          <w:sz w:val="20"/>
          <w:szCs w:val="20"/>
        </w:rPr>
        <w:t xml:space="preserve"> </w:t>
      </w:r>
      <w:r w:rsidRPr="0080172D">
        <w:rPr>
          <w:rFonts w:ascii="Open Sans" w:eastAsia="MS Mincho" w:hAnsi="Open Sans" w:cs="Open Sans"/>
          <w:color w:val="000000" w:themeColor="text1"/>
          <w:sz w:val="20"/>
          <w:szCs w:val="20"/>
        </w:rPr>
        <w:t xml:space="preserve">Keeping these Americans in their homes during this time is crucial for the health and wellbeing of their families and communities. </w:t>
      </w:r>
    </w:p>
    <w:p w14:paraId="770E8AB5" w14:textId="77777777" w:rsidR="00D30B5E" w:rsidRPr="0080172D" w:rsidRDefault="00526180" w:rsidP="00BF7E72">
      <w:pPr>
        <w:spacing w:after="200" w:line="276" w:lineRule="auto"/>
        <w:rPr>
          <w:rFonts w:ascii="Open Sans" w:eastAsia="MS Mincho" w:hAnsi="Open Sans" w:cs="Open Sans"/>
          <w:noProof/>
          <w:sz w:val="20"/>
          <w:szCs w:val="20"/>
        </w:rPr>
      </w:pPr>
      <w:r w:rsidRPr="0080172D">
        <w:rPr>
          <w:rFonts w:ascii="Open Sans" w:eastAsia="Open Sans" w:hAnsi="Open Sans" w:cs="Open Sans"/>
          <w:sz w:val="20"/>
          <w:szCs w:val="20"/>
        </w:rPr>
        <w:t xml:space="preserve">The pandemic and economic downturn is hitting low-income renters hard. Renters tend to have lower incomes and less assets than their homeowner counterparts and cannot tap into the equity in their homes for a credit line in case of an emergency. And a disproportionate number of renters are Black, Indigenous, and people of color. </w:t>
      </w:r>
      <w:r w:rsidR="00A317A1" w:rsidRPr="0080172D">
        <w:rPr>
          <w:rFonts w:ascii="Open Sans" w:eastAsia="Arial" w:hAnsi="Open Sans" w:cs="Open Sans"/>
          <w:sz w:val="20"/>
          <w:szCs w:val="20"/>
        </w:rPr>
        <w:t xml:space="preserve">A history of racism and sexism surrounding policies such as redlining, steering the housing market, and employment discrimination, among many others, have disenfranchised women of color, creating a system that makes it nearly impossible to build significant savings and wealth. </w:t>
      </w:r>
      <w:r w:rsidR="00A317A1" w:rsidRPr="0080172D">
        <w:rPr>
          <w:rFonts w:ascii="Open Sans" w:eastAsia="Open Sans" w:hAnsi="Open Sans" w:cs="Open Sans"/>
          <w:sz w:val="20"/>
          <w:szCs w:val="20"/>
        </w:rPr>
        <w:t xml:space="preserve">And </w:t>
      </w:r>
      <w:hyperlink r:id="rId15" w:history="1">
        <w:r w:rsidR="00A317A1" w:rsidRPr="0080172D">
          <w:rPr>
            <w:rStyle w:val="Hyperlink"/>
            <w:rFonts w:ascii="Open Sans" w:eastAsia="Open Sans" w:hAnsi="Open Sans" w:cs="Open Sans"/>
            <w:sz w:val="20"/>
            <w:szCs w:val="20"/>
            <w:u w:val="none"/>
          </w:rPr>
          <w:t>t</w:t>
        </w:r>
        <w:r w:rsidR="00A317A1" w:rsidRPr="0080172D">
          <w:rPr>
            <w:rStyle w:val="Hyperlink"/>
            <w:rFonts w:ascii="Open Sans" w:eastAsia="Arial" w:hAnsi="Open Sans" w:cs="Open Sans"/>
            <w:sz w:val="20"/>
            <w:szCs w:val="20"/>
            <w:u w:val="none"/>
          </w:rPr>
          <w:t>wo-thirds of Black and Latinx women do not have enough savings to live at the poverty line for three months</w:t>
        </w:r>
      </w:hyperlink>
      <w:r w:rsidR="00A317A1" w:rsidRPr="0080172D">
        <w:rPr>
          <w:rFonts w:ascii="Open Sans" w:eastAsia="Arial" w:hAnsi="Open Sans" w:cs="Open Sans"/>
          <w:sz w:val="20"/>
          <w:szCs w:val="20"/>
        </w:rPr>
        <w:t xml:space="preserve"> if they lose their jobs.</w:t>
      </w:r>
      <w:r w:rsidR="00A317A1" w:rsidRPr="0080172D">
        <w:rPr>
          <w:rStyle w:val="FootnoteReference"/>
          <w:rFonts w:ascii="Open Sans" w:hAnsi="Open Sans" w:cs="Open Sans"/>
          <w:sz w:val="20"/>
          <w:szCs w:val="20"/>
        </w:rPr>
        <w:footnoteReference w:id="9"/>
      </w:r>
      <w:r w:rsidR="001042A2" w:rsidRPr="0080172D">
        <w:rPr>
          <w:rFonts w:ascii="Open Sans" w:eastAsia="MS Mincho" w:hAnsi="Open Sans" w:cs="Open Sans"/>
          <w:noProof/>
          <w:sz w:val="20"/>
          <w:szCs w:val="20"/>
        </w:rPr>
        <w:t xml:space="preserve"> </w:t>
      </w:r>
    </w:p>
    <w:p w14:paraId="6A696262" w14:textId="424BDB98" w:rsidR="001042A2" w:rsidRPr="0080172D" w:rsidRDefault="001042A2" w:rsidP="00BF7E72">
      <w:pPr>
        <w:spacing w:after="200" w:line="276" w:lineRule="auto"/>
        <w:rPr>
          <w:rFonts w:ascii="Open Sans" w:eastAsia="MS Mincho" w:hAnsi="Open Sans" w:cs="Open Sans"/>
          <w:noProof/>
          <w:sz w:val="20"/>
          <w:szCs w:val="20"/>
        </w:rPr>
      </w:pPr>
      <w:r w:rsidRPr="0080172D">
        <w:rPr>
          <w:rFonts w:ascii="Open Sans" w:eastAsia="Open Sans" w:hAnsi="Open Sans" w:cs="Open Sans"/>
          <w:sz w:val="20"/>
          <w:szCs w:val="20"/>
        </w:rPr>
        <w:t>As the pandemic started, 31 percent of Americans, or 1 in 3, did not think they will be able to keep a roof over their head if the U.S. falls into a recession.</w:t>
      </w:r>
      <w:r w:rsidRPr="0080172D">
        <w:rPr>
          <w:rStyle w:val="FootnoteReference"/>
          <w:rFonts w:ascii="Open Sans" w:hAnsi="Open Sans" w:cs="Open Sans"/>
          <w:sz w:val="20"/>
          <w:szCs w:val="20"/>
        </w:rPr>
        <w:footnoteReference w:id="10"/>
      </w:r>
      <w:r w:rsidRPr="0080172D">
        <w:rPr>
          <w:rFonts w:ascii="Open Sans" w:eastAsia="Open Sans" w:hAnsi="Open Sans" w:cs="Open Sans"/>
          <w:sz w:val="20"/>
          <w:szCs w:val="20"/>
        </w:rPr>
        <w:t xml:space="preserve"> In late March, more than one-third of parents reported problems paying for housing, utility, food, or medical costs in the past month, including roughly half of low-income parents and black and Hispanic parents</w:t>
      </w:r>
      <w:r w:rsidR="0006793D" w:rsidRPr="0080172D">
        <w:rPr>
          <w:rFonts w:ascii="Open Sans" w:eastAsia="Open Sans" w:hAnsi="Open Sans" w:cs="Open Sans"/>
          <w:sz w:val="20"/>
          <w:szCs w:val="20"/>
        </w:rPr>
        <w:t xml:space="preserve"> (see figure on next page)</w:t>
      </w:r>
      <w:r w:rsidRPr="0080172D">
        <w:rPr>
          <w:rFonts w:ascii="Open Sans" w:eastAsia="Open Sans" w:hAnsi="Open Sans" w:cs="Open Sans"/>
          <w:sz w:val="20"/>
          <w:szCs w:val="20"/>
        </w:rPr>
        <w:t>.</w:t>
      </w:r>
      <w:r w:rsidR="0006793D" w:rsidRPr="0080172D">
        <w:rPr>
          <w:rFonts w:ascii="Open Sans" w:eastAsia="MS Mincho" w:hAnsi="Open Sans" w:cs="Open Sans"/>
          <w:sz w:val="20"/>
          <w:szCs w:val="20"/>
          <w:vertAlign w:val="superscript"/>
        </w:rPr>
        <w:t xml:space="preserve"> </w:t>
      </w:r>
      <w:r w:rsidR="0006793D" w:rsidRPr="0080172D">
        <w:rPr>
          <w:rFonts w:ascii="Open Sans" w:eastAsia="MS Mincho" w:hAnsi="Open Sans" w:cs="Open Sans"/>
          <w:sz w:val="20"/>
          <w:szCs w:val="20"/>
          <w:vertAlign w:val="superscript"/>
        </w:rPr>
        <w:footnoteReference w:id="11"/>
      </w:r>
    </w:p>
    <w:p w14:paraId="336B2DEE" w14:textId="2A7F22DE" w:rsidR="000C65BE" w:rsidRPr="0080172D" w:rsidRDefault="001042A2" w:rsidP="00BF7E72">
      <w:pPr>
        <w:spacing w:after="200" w:line="276" w:lineRule="auto"/>
        <w:rPr>
          <w:rFonts w:ascii="Open Sans" w:eastAsia="Arial" w:hAnsi="Open Sans" w:cs="Open Sans"/>
          <w:sz w:val="20"/>
          <w:szCs w:val="20"/>
        </w:rPr>
      </w:pPr>
      <w:r w:rsidRPr="0080172D">
        <w:rPr>
          <w:rFonts w:ascii="Open Sans" w:eastAsia="MS Mincho" w:hAnsi="Open Sans" w:cs="Open Sans"/>
          <w:noProof/>
          <w:sz w:val="20"/>
          <w:szCs w:val="20"/>
        </w:rPr>
        <w:lastRenderedPageBreak/>
        <w:drawing>
          <wp:inline distT="0" distB="0" distL="0" distR="0" wp14:anchorId="796729C1" wp14:editId="3525AB31">
            <wp:extent cx="5943600" cy="3422650"/>
            <wp:effectExtent l="0" t="0" r="0" b="6350"/>
            <wp:docPr id="10"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6">
                      <a:extLst>
                        <a:ext uri="{FF2B5EF4-FFF2-40B4-BE49-F238E27FC236}">
                          <a16:creationId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1E1E5FC8-1E9F-4425-8828-1E222CD90914}"/>
                        </a:ext>
                      </a:extLst>
                    </a:blip>
                    <a:stretch>
                      <a:fillRect/>
                    </a:stretch>
                  </pic:blipFill>
                  <pic:spPr>
                    <a:xfrm>
                      <a:off x="0" y="0"/>
                      <a:ext cx="5943600" cy="3422650"/>
                    </a:xfrm>
                    <a:prstGeom prst="rect">
                      <a:avLst/>
                    </a:prstGeom>
                  </pic:spPr>
                </pic:pic>
              </a:graphicData>
            </a:graphic>
          </wp:inline>
        </w:drawing>
      </w:r>
    </w:p>
    <w:p w14:paraId="39C7A2D6" w14:textId="671C8896" w:rsidR="00526180" w:rsidRPr="0080172D" w:rsidRDefault="00526180" w:rsidP="00BF7E72">
      <w:pPr>
        <w:spacing w:after="200" w:line="276" w:lineRule="auto"/>
        <w:rPr>
          <w:rFonts w:ascii="Open Sans" w:eastAsia="MS Mincho" w:hAnsi="Open Sans" w:cs="Open Sans"/>
          <w:sz w:val="20"/>
          <w:szCs w:val="20"/>
        </w:rPr>
      </w:pPr>
      <w:r w:rsidRPr="0080172D">
        <w:rPr>
          <w:rFonts w:ascii="Open Sans" w:eastAsia="MS Mincho" w:hAnsi="Open Sans" w:cs="Open Sans"/>
          <w:sz w:val="20"/>
          <w:szCs w:val="20"/>
        </w:rPr>
        <w:t xml:space="preserve">Analyzing Census data, the </w:t>
      </w:r>
      <w:r w:rsidRPr="0080172D">
        <w:rPr>
          <w:rFonts w:ascii="Open Sans" w:eastAsia="Times New Roman" w:hAnsi="Open Sans" w:cs="Open Sans"/>
          <w:color w:val="333333"/>
          <w:sz w:val="20"/>
          <w:szCs w:val="20"/>
        </w:rPr>
        <w:t xml:space="preserve">Urban Institute found </w:t>
      </w:r>
      <w:hyperlink r:id="rId17" w:history="1">
        <w:r w:rsidRPr="0080172D">
          <w:rPr>
            <w:rStyle w:val="Hyperlink"/>
            <w:rFonts w:ascii="Open Sans" w:eastAsia="Times New Roman" w:hAnsi="Open Sans" w:cs="Open Sans"/>
            <w:sz w:val="20"/>
            <w:szCs w:val="20"/>
            <w:u w:val="none"/>
          </w:rPr>
          <w:t>half of Black and Latino renters ha</w:t>
        </w:r>
        <w:r w:rsidR="00450F84" w:rsidRPr="0080172D">
          <w:rPr>
            <w:rStyle w:val="Hyperlink"/>
            <w:rFonts w:ascii="Open Sans" w:eastAsia="Times New Roman" w:hAnsi="Open Sans" w:cs="Open Sans"/>
            <w:sz w:val="20"/>
            <w:szCs w:val="20"/>
            <w:u w:val="none"/>
          </w:rPr>
          <w:t>d</w:t>
        </w:r>
        <w:r w:rsidRPr="0080172D">
          <w:rPr>
            <w:rStyle w:val="Hyperlink"/>
            <w:rFonts w:ascii="Open Sans" w:eastAsia="Times New Roman" w:hAnsi="Open Sans" w:cs="Open Sans"/>
            <w:sz w:val="20"/>
            <w:szCs w:val="20"/>
            <w:u w:val="none"/>
          </w:rPr>
          <w:t xml:space="preserve"> slight or no confidence in ability to pay June rent</w:t>
        </w:r>
      </w:hyperlink>
      <w:r w:rsidRPr="0080172D">
        <w:rPr>
          <w:rFonts w:ascii="Open Sans" w:eastAsia="Times New Roman" w:hAnsi="Open Sans" w:cs="Open Sans"/>
          <w:color w:val="333333"/>
          <w:sz w:val="20"/>
          <w:szCs w:val="20"/>
        </w:rPr>
        <w:t xml:space="preserve"> - more than twice the rate for white renters.</w:t>
      </w:r>
      <w:r w:rsidR="00E31EEF" w:rsidRPr="0080172D">
        <w:rPr>
          <w:rStyle w:val="FootnoteReference"/>
          <w:rFonts w:ascii="Open Sans" w:hAnsi="Open Sans" w:cs="Open Sans"/>
          <w:sz w:val="20"/>
          <w:szCs w:val="20"/>
        </w:rPr>
        <w:footnoteReference w:id="12"/>
      </w:r>
      <w:r w:rsidR="008C144F" w:rsidRPr="0080172D">
        <w:rPr>
          <w:rFonts w:ascii="Open Sans" w:eastAsia="Open Sans" w:hAnsi="Open Sans" w:cs="Open Sans"/>
          <w:sz w:val="20"/>
          <w:szCs w:val="20"/>
        </w:rPr>
        <w:t xml:space="preserve">. </w:t>
      </w:r>
      <w:r w:rsidR="00450F84" w:rsidRPr="0080172D">
        <w:rPr>
          <w:rFonts w:ascii="Open Sans" w:eastAsia="Open Sans" w:hAnsi="Open Sans" w:cs="Open Sans"/>
          <w:sz w:val="20"/>
          <w:szCs w:val="20"/>
        </w:rPr>
        <w:t xml:space="preserve">And with </w:t>
      </w:r>
      <w:hyperlink r:id="rId18" w:history="1">
        <w:r w:rsidR="008C144F" w:rsidRPr="0080172D">
          <w:rPr>
            <w:rFonts w:ascii="Open Sans" w:eastAsia="MS Mincho" w:hAnsi="Open Sans" w:cs="Open Sans"/>
            <w:color w:val="0000FF"/>
            <w:sz w:val="20"/>
            <w:szCs w:val="20"/>
          </w:rPr>
          <w:t>the Congressional Budget Office (CBO) forecast</w:t>
        </w:r>
        <w:r w:rsidR="003B7578" w:rsidRPr="0080172D">
          <w:rPr>
            <w:rFonts w:ascii="Open Sans" w:eastAsia="MS Mincho" w:hAnsi="Open Sans" w:cs="Open Sans"/>
            <w:color w:val="0000FF"/>
            <w:sz w:val="20"/>
            <w:szCs w:val="20"/>
          </w:rPr>
          <w:t>ing</w:t>
        </w:r>
        <w:r w:rsidR="008C144F" w:rsidRPr="0080172D">
          <w:rPr>
            <w:rFonts w:ascii="Open Sans" w:eastAsia="MS Mincho" w:hAnsi="Open Sans" w:cs="Open Sans"/>
            <w:color w:val="0000FF"/>
            <w:sz w:val="20"/>
            <w:szCs w:val="20"/>
          </w:rPr>
          <w:t xml:space="preserve"> that the unemployment rate will average 10 percent next year</w:t>
        </w:r>
      </w:hyperlink>
      <w:r w:rsidRPr="0080172D">
        <w:rPr>
          <w:rFonts w:ascii="Open Sans" w:eastAsia="MS Mincho" w:hAnsi="Open Sans" w:cs="Open Sans"/>
          <w:sz w:val="20"/>
          <w:szCs w:val="20"/>
          <w:vertAlign w:val="superscript"/>
        </w:rPr>
        <w:footnoteReference w:id="13"/>
      </w:r>
      <w:r w:rsidR="003B7578" w:rsidRPr="0080172D">
        <w:rPr>
          <w:rFonts w:ascii="Open Sans" w:eastAsia="MS Mincho" w:hAnsi="Open Sans" w:cs="Open Sans"/>
          <w:sz w:val="20"/>
          <w:szCs w:val="20"/>
        </w:rPr>
        <w:t xml:space="preserve">, millions of low-income renters could see challenges keeping housing for months and years ahead. </w:t>
      </w:r>
    </w:p>
    <w:p w14:paraId="47E8A435" w14:textId="4F351097" w:rsidR="00526180" w:rsidRPr="0080172D" w:rsidRDefault="00526180" w:rsidP="00BF7E72">
      <w:pPr>
        <w:spacing w:after="200" w:line="276" w:lineRule="auto"/>
        <w:rPr>
          <w:rFonts w:ascii="Open Sans" w:eastAsia="Open Sans" w:hAnsi="Open Sans" w:cs="Open Sans"/>
          <w:sz w:val="20"/>
          <w:szCs w:val="20"/>
        </w:rPr>
      </w:pPr>
      <w:r w:rsidRPr="0080172D">
        <w:rPr>
          <w:rFonts w:ascii="Open Sans" w:eastAsia="Open Sans" w:hAnsi="Open Sans" w:cs="Open Sans"/>
          <w:sz w:val="20"/>
          <w:szCs w:val="20"/>
        </w:rPr>
        <w:t>Some policymakers are implementing measures to help low-income renters keep their housing. These range from placing a moratorium on all evictions, more limited moratoria for residents who can demonstrate lost wages due to coronavirus, and piloting emergency rental assistance using local funds.</w:t>
      </w:r>
    </w:p>
    <w:p w14:paraId="1CAD742D" w14:textId="5A666853" w:rsidR="00526180" w:rsidRPr="0080172D" w:rsidRDefault="00526180" w:rsidP="00BF7E72">
      <w:pPr>
        <w:spacing w:after="200" w:line="276" w:lineRule="auto"/>
        <w:rPr>
          <w:rFonts w:ascii="Open Sans" w:eastAsia="Open Sans" w:hAnsi="Open Sans" w:cs="Open Sans"/>
          <w:color w:val="212529"/>
          <w:sz w:val="20"/>
          <w:szCs w:val="20"/>
        </w:rPr>
      </w:pPr>
      <w:r w:rsidRPr="0080172D">
        <w:rPr>
          <w:rFonts w:ascii="Open Sans" w:eastAsia="Open Sans" w:hAnsi="Open Sans" w:cs="Open Sans"/>
          <w:color w:val="212529"/>
          <w:sz w:val="20"/>
          <w:szCs w:val="20"/>
        </w:rPr>
        <w:t xml:space="preserve">While </w:t>
      </w:r>
      <w:r w:rsidRPr="0080172D">
        <w:rPr>
          <w:rFonts w:ascii="Open Sans" w:eastAsia="Open Sans" w:hAnsi="Open Sans" w:cs="Open Sans"/>
          <w:sz w:val="20"/>
          <w:szCs w:val="20"/>
        </w:rPr>
        <w:t xml:space="preserve">$12 billion in additional funding in the CARES Act </w:t>
      </w:r>
      <w:r w:rsidRPr="0080172D">
        <w:rPr>
          <w:rFonts w:ascii="Open Sans" w:eastAsia="Open Sans" w:hAnsi="Open Sans" w:cs="Open Sans"/>
          <w:color w:val="212529"/>
          <w:sz w:val="20"/>
          <w:szCs w:val="20"/>
        </w:rPr>
        <w:t xml:space="preserve">for homelessness and low-income renters is important, </w:t>
      </w:r>
      <w:hyperlink r:id="rId19" w:history="1">
        <w:r w:rsidRPr="0080172D">
          <w:rPr>
            <w:rFonts w:ascii="Open Sans" w:eastAsia="Open Sans" w:hAnsi="Open Sans" w:cs="Open Sans"/>
            <w:color w:val="D50032"/>
            <w:sz w:val="20"/>
            <w:szCs w:val="20"/>
          </w:rPr>
          <w:t>it isn’t enough</w:t>
        </w:r>
      </w:hyperlink>
      <w:r w:rsidRPr="0080172D">
        <w:rPr>
          <w:rFonts w:ascii="Open Sans" w:eastAsia="Open Sans" w:hAnsi="Open Sans" w:cs="Open Sans"/>
          <w:color w:val="212529"/>
          <w:sz w:val="20"/>
          <w:szCs w:val="20"/>
        </w:rPr>
        <w:t xml:space="preserve"> to deal with the immediate needs homeless people are currently facing, or to provide emergency rental assistance to </w:t>
      </w:r>
      <w:r w:rsidRPr="0080172D">
        <w:rPr>
          <w:rFonts w:ascii="Open Sans" w:eastAsia="MS Mincho" w:hAnsi="Open Sans" w:cs="Open Sans"/>
          <w:sz w:val="20"/>
          <w:szCs w:val="20"/>
        </w:rPr>
        <w:t>keep millions of low-income renters in their homes</w:t>
      </w:r>
      <w:commentRangeStart w:id="7"/>
      <w:commentRangeEnd w:id="7"/>
      <w:r w:rsidRPr="0080172D">
        <w:rPr>
          <w:rFonts w:ascii="Open Sans" w:eastAsia="Open Sans" w:hAnsi="Open Sans" w:cs="Open Sans"/>
          <w:color w:val="212529"/>
          <w:sz w:val="20"/>
          <w:szCs w:val="20"/>
        </w:rPr>
        <w:t>. As Congress negotiates additional legislation to respond to the housing crisis, the communities already pushed to the margins still face the greatest risks in this pandemic, and our underlying affordable housing crisis means that millions of families struggle to make rent.</w:t>
      </w:r>
    </w:p>
    <w:p w14:paraId="454E9766" w14:textId="3A56CB27" w:rsidR="00526180" w:rsidRPr="0080172D" w:rsidRDefault="00526180" w:rsidP="00BF7E72">
      <w:pPr>
        <w:shd w:val="clear" w:color="auto" w:fill="FFFFFF" w:themeFill="background1"/>
        <w:spacing w:after="200" w:line="276" w:lineRule="auto"/>
        <w:rPr>
          <w:rFonts w:ascii="Open Sans" w:eastAsia="Open Sans" w:hAnsi="Open Sans" w:cs="Open Sans"/>
          <w:color w:val="212529"/>
          <w:sz w:val="20"/>
          <w:szCs w:val="20"/>
        </w:rPr>
      </w:pPr>
      <w:r w:rsidRPr="0080172D">
        <w:rPr>
          <w:rFonts w:ascii="Open Sans" w:eastAsia="Open Sans" w:hAnsi="Open Sans" w:cs="Open Sans"/>
          <w:color w:val="212529"/>
          <w:sz w:val="20"/>
          <w:szCs w:val="20"/>
        </w:rPr>
        <w:lastRenderedPageBreak/>
        <w:t>According to the National Low Income Housing Coalition, it is estimated that the cost to extending rental assistance to cover all current and projected housing cost-burdened extremely and very low-income renters would cost approximately $99.5 billion.</w:t>
      </w:r>
      <w:r w:rsidR="005F09EC" w:rsidRPr="0080172D">
        <w:rPr>
          <w:rStyle w:val="FootnoteReference"/>
          <w:rFonts w:ascii="Open Sans" w:eastAsia="Open Sans" w:hAnsi="Open Sans" w:cs="Open Sans"/>
          <w:color w:val="212529"/>
          <w:sz w:val="20"/>
          <w:szCs w:val="20"/>
        </w:rPr>
        <w:footnoteReference w:id="14"/>
      </w:r>
      <w:r w:rsidRPr="0080172D">
        <w:rPr>
          <w:rFonts w:ascii="Open Sans" w:eastAsia="Open Sans" w:hAnsi="Open Sans" w:cs="Open Sans"/>
          <w:color w:val="212529"/>
          <w:sz w:val="20"/>
          <w:szCs w:val="20"/>
        </w:rPr>
        <w:t xml:space="preserve"> As policymakers look at emergency rental assistance, the bipartisan </w:t>
      </w:r>
      <w:hyperlink r:id="rId20" w:history="1">
        <w:r w:rsidRPr="0080172D">
          <w:rPr>
            <w:rFonts w:ascii="Open Sans" w:eastAsia="Open Sans" w:hAnsi="Open Sans" w:cs="Open Sans"/>
            <w:color w:val="D50032"/>
            <w:sz w:val="20"/>
            <w:szCs w:val="20"/>
          </w:rPr>
          <w:t>Eviction Crisis Act (S. 3030)</w:t>
        </w:r>
      </w:hyperlink>
      <w:r w:rsidRPr="0080172D">
        <w:rPr>
          <w:rFonts w:ascii="Open Sans" w:eastAsia="Open Sans" w:hAnsi="Open Sans" w:cs="Open Sans"/>
          <w:color w:val="212529"/>
          <w:sz w:val="20"/>
          <w:szCs w:val="20"/>
        </w:rPr>
        <w:t xml:space="preserve">, introduced by Senator Bennet (D-CO) and Portman (R-OH), could be a model – it would establish a federal emergency housing grant program which would provide aid to people experiencing housing insecurity in order to prevent homelessness. The House-passed HEROES Act includes $100 billion in emergency rental assistance – though Senate leaders are moving slowly to enact additional COVID legislation. </w:t>
      </w:r>
    </w:p>
    <w:p w14:paraId="7312EE9B" w14:textId="77777777" w:rsidR="00526180" w:rsidRPr="0080172D" w:rsidRDefault="00526180" w:rsidP="00BF7E72">
      <w:pPr>
        <w:shd w:val="clear" w:color="auto" w:fill="FFFFFF" w:themeFill="background1"/>
        <w:spacing w:after="200" w:line="276" w:lineRule="auto"/>
        <w:rPr>
          <w:rFonts w:ascii="Open Sans" w:eastAsia="Open Sans" w:hAnsi="Open Sans" w:cs="Open Sans"/>
          <w:color w:val="212529"/>
          <w:sz w:val="20"/>
          <w:szCs w:val="20"/>
        </w:rPr>
      </w:pPr>
      <w:r w:rsidRPr="0080172D">
        <w:rPr>
          <w:rFonts w:ascii="Open Sans" w:eastAsia="Open Sans" w:hAnsi="Open Sans" w:cs="Open Sans"/>
          <w:color w:val="212529"/>
          <w:sz w:val="20"/>
          <w:szCs w:val="20"/>
        </w:rPr>
        <w:t xml:space="preserve">A nationwide moratorium on evictions would help renters and homeowners stay housed during the economic crisis. In addition, millions of families face weeks or months where they cannot afford rent due to lost </w:t>
      </w:r>
      <w:proofErr w:type="gramStart"/>
      <w:r w:rsidRPr="0080172D">
        <w:rPr>
          <w:rFonts w:ascii="Open Sans" w:eastAsia="Open Sans" w:hAnsi="Open Sans" w:cs="Open Sans"/>
          <w:color w:val="212529"/>
          <w:sz w:val="20"/>
          <w:szCs w:val="20"/>
        </w:rPr>
        <w:t>wages, and</w:t>
      </w:r>
      <w:proofErr w:type="gramEnd"/>
      <w:r w:rsidRPr="0080172D">
        <w:rPr>
          <w:rFonts w:ascii="Open Sans" w:eastAsia="Open Sans" w:hAnsi="Open Sans" w:cs="Open Sans"/>
          <w:color w:val="212529"/>
          <w:sz w:val="20"/>
          <w:szCs w:val="20"/>
        </w:rPr>
        <w:t xml:space="preserve"> will not be able to come up with past rent due when an eviction moratorium ends. There is a desperate need for emergency rental assistance combined with a nationwide moratorium on evictions.  </w:t>
      </w:r>
    </w:p>
    <w:p w14:paraId="3858A63F" w14:textId="77777777" w:rsidR="00526180" w:rsidRPr="0080172D" w:rsidRDefault="00526180" w:rsidP="00BF7E72">
      <w:pPr>
        <w:shd w:val="clear" w:color="auto" w:fill="FFFFFF" w:themeFill="background1"/>
        <w:spacing w:after="200" w:line="276" w:lineRule="auto"/>
        <w:rPr>
          <w:rFonts w:ascii="Open Sans" w:eastAsia="Times New Roman" w:hAnsi="Open Sans" w:cs="Open Sans"/>
          <w:color w:val="212529"/>
          <w:sz w:val="20"/>
          <w:szCs w:val="20"/>
        </w:rPr>
      </w:pPr>
      <w:r w:rsidRPr="0080172D">
        <w:rPr>
          <w:rFonts w:ascii="Open Sans" w:eastAsia="Open Sans" w:hAnsi="Open Sans" w:cs="Open Sans"/>
          <w:color w:val="212529"/>
          <w:sz w:val="20"/>
          <w:szCs w:val="20"/>
        </w:rPr>
        <w:t xml:space="preserve">These combined measures would help prevent millions of Americans from facing a housing cliff -- losing their homes after the COVID-19 crisis due to an inability to pay back their months of rent that were suspended while ensuring families do not get evicted while they struggle to seek emergency rental assistance. </w:t>
      </w:r>
      <w:r w:rsidRPr="0080172D">
        <w:rPr>
          <w:rFonts w:ascii="Open Sans" w:eastAsia="Times New Roman" w:hAnsi="Open Sans" w:cs="Open Sans"/>
          <w:b/>
          <w:bCs/>
          <w:color w:val="212529"/>
          <w:sz w:val="20"/>
          <w:szCs w:val="20"/>
        </w:rPr>
        <w:t>Increasing funding for emergency rental assistance end eviction prevention would make a tremendous impact on the lives of low-income renters</w:t>
      </w:r>
      <w:r w:rsidRPr="0080172D">
        <w:rPr>
          <w:rFonts w:ascii="Open Sans" w:eastAsia="Times New Roman" w:hAnsi="Open Sans" w:cs="Open Sans"/>
          <w:color w:val="212529"/>
          <w:sz w:val="20"/>
          <w:szCs w:val="20"/>
        </w:rPr>
        <w:t xml:space="preserve"> by allowing them to keep them and their families safe in the homes during this crisis. </w:t>
      </w:r>
    </w:p>
    <w:p w14:paraId="6307EADD" w14:textId="53E2A002" w:rsidR="00D56DD5" w:rsidRPr="0080172D" w:rsidRDefault="00526180" w:rsidP="00BF7E72">
      <w:pPr>
        <w:shd w:val="clear" w:color="auto" w:fill="FFFFFF" w:themeFill="background1"/>
        <w:spacing w:after="200" w:line="276" w:lineRule="auto"/>
        <w:rPr>
          <w:rFonts w:ascii="Open Sans" w:eastAsia="Times New Roman" w:hAnsi="Open Sans" w:cs="Open Sans"/>
          <w:color w:val="212529"/>
          <w:sz w:val="20"/>
          <w:szCs w:val="20"/>
        </w:rPr>
      </w:pPr>
      <w:r w:rsidRPr="0080172D">
        <w:rPr>
          <w:rFonts w:ascii="Open Sans" w:eastAsia="Times New Roman" w:hAnsi="Open Sans" w:cs="Open Sans"/>
          <w:color w:val="212529"/>
          <w:sz w:val="20"/>
          <w:szCs w:val="20"/>
        </w:rPr>
        <w:t xml:space="preserve">We must also look ahead. In future legislation beyond this crisis, Congress may consider a refundable renters’ tax credit for low-income renters would help increase housing affordability by helping families with rising rent costs. </w:t>
      </w:r>
      <w:r w:rsidRPr="0080172D">
        <w:rPr>
          <w:rFonts w:ascii="Open Sans" w:eastAsia="MS Mincho" w:hAnsi="Open Sans" w:cs="Open Sans"/>
          <w:color w:val="000000" w:themeColor="text1"/>
          <w:sz w:val="20"/>
          <w:szCs w:val="20"/>
        </w:rPr>
        <w:t>Columbia University researchers estimate that a renters’ credit could lift over 9 million Americans above the poverty line.</w:t>
      </w:r>
      <w:r w:rsidR="003C28CF" w:rsidRPr="003C28CF">
        <w:rPr>
          <w:rStyle w:val="FootnoteReference"/>
          <w:rFonts w:ascii="Open Sans" w:eastAsia="Open Sans" w:hAnsi="Open Sans" w:cs="Open Sans"/>
          <w:color w:val="212529"/>
          <w:sz w:val="20"/>
          <w:szCs w:val="20"/>
        </w:rPr>
        <w:t xml:space="preserve"> </w:t>
      </w:r>
      <w:r w:rsidR="003C28CF" w:rsidRPr="0080172D">
        <w:rPr>
          <w:rStyle w:val="FootnoteReference"/>
          <w:rFonts w:ascii="Open Sans" w:eastAsia="Open Sans" w:hAnsi="Open Sans" w:cs="Open Sans"/>
          <w:color w:val="212529"/>
          <w:sz w:val="20"/>
          <w:szCs w:val="20"/>
        </w:rPr>
        <w:footnoteReference w:id="15"/>
      </w:r>
      <w:r w:rsidR="003C28CF" w:rsidRPr="0080172D">
        <w:rPr>
          <w:rFonts w:ascii="Open Sans" w:eastAsia="Open Sans" w:hAnsi="Open Sans" w:cs="Open Sans"/>
          <w:color w:val="212529"/>
          <w:sz w:val="20"/>
          <w:szCs w:val="20"/>
        </w:rPr>
        <w:t xml:space="preserve"> </w:t>
      </w:r>
      <w:r w:rsidRPr="0080172D">
        <w:rPr>
          <w:rFonts w:ascii="Open Sans" w:eastAsia="MS Mincho" w:hAnsi="Open Sans" w:cs="Open Sans"/>
          <w:color w:val="000000" w:themeColor="text1"/>
          <w:sz w:val="20"/>
          <w:szCs w:val="20"/>
        </w:rPr>
        <w:t>Senators Booker (D-NJ) (</w:t>
      </w:r>
      <w:hyperlink r:id="rId21" w:history="1">
        <w:r w:rsidRPr="0080172D">
          <w:rPr>
            <w:rFonts w:ascii="Open Sans" w:eastAsia="MS Mincho" w:hAnsi="Open Sans" w:cs="Open Sans"/>
            <w:color w:val="0000FF"/>
            <w:sz w:val="20"/>
            <w:szCs w:val="20"/>
          </w:rPr>
          <w:t>H.R. 4808</w:t>
        </w:r>
      </w:hyperlink>
      <w:r w:rsidRPr="0080172D">
        <w:rPr>
          <w:rFonts w:ascii="Open Sans" w:eastAsia="MS Mincho" w:hAnsi="Open Sans" w:cs="Open Sans"/>
          <w:color w:val="000000" w:themeColor="text1"/>
          <w:sz w:val="20"/>
          <w:szCs w:val="20"/>
        </w:rPr>
        <w:t>/</w:t>
      </w:r>
      <w:hyperlink r:id="rId22" w:history="1">
        <w:r w:rsidRPr="0080172D">
          <w:rPr>
            <w:rFonts w:ascii="Open Sans" w:eastAsia="MS Mincho" w:hAnsi="Open Sans" w:cs="Open Sans"/>
            <w:color w:val="0000FF"/>
            <w:sz w:val="20"/>
            <w:szCs w:val="20"/>
          </w:rPr>
          <w:t>S. 2684</w:t>
        </w:r>
      </w:hyperlink>
      <w:r w:rsidRPr="0080172D">
        <w:rPr>
          <w:rFonts w:ascii="Open Sans" w:eastAsia="MS Mincho" w:hAnsi="Open Sans" w:cs="Open Sans"/>
          <w:color w:val="000000" w:themeColor="text1"/>
          <w:sz w:val="20"/>
          <w:szCs w:val="20"/>
        </w:rPr>
        <w:t>) and Harris (D-CA) (</w:t>
      </w:r>
      <w:hyperlink r:id="rId23" w:history="1">
        <w:r w:rsidRPr="0080172D">
          <w:rPr>
            <w:rFonts w:ascii="Open Sans" w:eastAsia="MS Mincho" w:hAnsi="Open Sans" w:cs="Open Sans"/>
            <w:color w:val="0000FF"/>
            <w:sz w:val="20"/>
            <w:szCs w:val="20"/>
          </w:rPr>
          <w:t>H.R. 2169</w:t>
        </w:r>
      </w:hyperlink>
      <w:r w:rsidRPr="0080172D">
        <w:rPr>
          <w:rFonts w:ascii="Open Sans" w:eastAsia="MS Mincho" w:hAnsi="Open Sans" w:cs="Open Sans"/>
          <w:color w:val="000000" w:themeColor="text1"/>
          <w:sz w:val="20"/>
          <w:szCs w:val="20"/>
        </w:rPr>
        <w:t>/</w:t>
      </w:r>
      <w:hyperlink r:id="rId24" w:history="1">
        <w:r w:rsidRPr="0080172D">
          <w:rPr>
            <w:rFonts w:ascii="Open Sans" w:eastAsia="MS Mincho" w:hAnsi="Open Sans" w:cs="Open Sans"/>
            <w:color w:val="0000FF"/>
            <w:sz w:val="20"/>
            <w:szCs w:val="20"/>
          </w:rPr>
          <w:t>S. 1106</w:t>
        </w:r>
      </w:hyperlink>
      <w:r w:rsidRPr="0080172D">
        <w:rPr>
          <w:rFonts w:ascii="Open Sans" w:eastAsia="MS Mincho" w:hAnsi="Open Sans" w:cs="Open Sans"/>
          <w:color w:val="000000" w:themeColor="text1"/>
          <w:sz w:val="20"/>
          <w:szCs w:val="20"/>
        </w:rPr>
        <w:t>), and Heller (R-NV) (</w:t>
      </w:r>
      <w:hyperlink r:id="rId25" w:history="1">
        <w:r w:rsidRPr="0080172D">
          <w:rPr>
            <w:rFonts w:ascii="Open Sans" w:eastAsia="MS Mincho" w:hAnsi="Open Sans" w:cs="Open Sans"/>
            <w:color w:val="0000FF"/>
            <w:sz w:val="20"/>
            <w:szCs w:val="20"/>
          </w:rPr>
          <w:t>S. 3580</w:t>
        </w:r>
      </w:hyperlink>
      <w:r w:rsidRPr="0080172D">
        <w:rPr>
          <w:rFonts w:ascii="Open Sans" w:eastAsia="MS Mincho" w:hAnsi="Open Sans" w:cs="Open Sans"/>
          <w:color w:val="0000FF"/>
          <w:sz w:val="20"/>
          <w:szCs w:val="20"/>
        </w:rPr>
        <w:t>)</w:t>
      </w:r>
      <w:r w:rsidRPr="0080172D">
        <w:rPr>
          <w:rFonts w:ascii="Open Sans" w:eastAsia="MS Mincho" w:hAnsi="Open Sans" w:cs="Open Sans"/>
          <w:color w:val="000000" w:themeColor="text1"/>
          <w:sz w:val="20"/>
          <w:szCs w:val="20"/>
        </w:rPr>
        <w:t xml:space="preserve"> in the last Congress, have all introduced renters’ credit legislation. </w:t>
      </w:r>
      <w:r w:rsidRPr="0080172D">
        <w:rPr>
          <w:rFonts w:ascii="Open Sans" w:eastAsia="Times New Roman" w:hAnsi="Open Sans" w:cs="Open Sans"/>
          <w:b/>
          <w:bCs/>
          <w:color w:val="212529"/>
          <w:sz w:val="20"/>
          <w:szCs w:val="20"/>
        </w:rPr>
        <w:t>A renter’s credit – paired with measures to reduce evictions and increase the supply of affordable housing via the National Housing Trust Fund – would ensure more families have a safe, affordable place in good times and bad.</w:t>
      </w:r>
      <w:r w:rsidRPr="0080172D">
        <w:rPr>
          <w:rFonts w:ascii="Open Sans" w:eastAsia="Times New Roman" w:hAnsi="Open Sans" w:cs="Open Sans"/>
          <w:color w:val="212529"/>
          <w:sz w:val="20"/>
          <w:szCs w:val="20"/>
        </w:rPr>
        <w:t xml:space="preserve"> A refundable renter’s tax credit and more money in the to build affordable housing will help low-income renter households, particularly households of color, move toward greater economic security. </w:t>
      </w:r>
      <w:r w:rsidR="00D56DD5" w:rsidRPr="0080172D">
        <w:rPr>
          <w:rFonts w:ascii="Open Sans" w:hAnsi="Open Sans" w:cs="Open Sans"/>
          <w:sz w:val="20"/>
          <w:szCs w:val="20"/>
        </w:rPr>
        <w:br w:type="page"/>
      </w:r>
    </w:p>
    <w:p w14:paraId="5B28EAF8" w14:textId="33A829A4" w:rsidR="00D56DD5" w:rsidRPr="0080172D" w:rsidRDefault="00D56DD5" w:rsidP="00D56DD5">
      <w:pPr>
        <w:spacing w:line="276" w:lineRule="auto"/>
        <w:rPr>
          <w:rStyle w:val="Heading2Char"/>
          <w:rFonts w:ascii="Open Sans" w:hAnsi="Open Sans" w:cs="Open Sans"/>
          <w:color w:val="C00000"/>
          <w:sz w:val="32"/>
          <w:szCs w:val="32"/>
        </w:rPr>
      </w:pPr>
      <w:r w:rsidRPr="0080172D">
        <w:rPr>
          <w:rFonts w:ascii="Open Sans" w:hAnsi="Open Sans" w:cs="Open Sans"/>
          <w:color w:val="D50032"/>
          <w:sz w:val="32"/>
          <w:szCs w:val="32"/>
        </w:rPr>
        <w:lastRenderedPageBreak/>
        <w:t>C</w:t>
      </w:r>
      <w:r w:rsidRPr="0080172D">
        <w:rPr>
          <w:rStyle w:val="Heading2Char"/>
          <w:rFonts w:ascii="Open Sans" w:hAnsi="Open Sans" w:cs="Open Sans"/>
          <w:color w:val="C00000"/>
          <w:sz w:val="32"/>
          <w:szCs w:val="32"/>
        </w:rPr>
        <w:t>OVID</w:t>
      </w:r>
      <w:r w:rsidR="007D3965" w:rsidRPr="0080172D">
        <w:rPr>
          <w:rStyle w:val="Heading2Char"/>
          <w:rFonts w:ascii="Open Sans" w:hAnsi="Open Sans" w:cs="Open Sans"/>
          <w:color w:val="C00000"/>
          <w:sz w:val="32"/>
          <w:szCs w:val="32"/>
        </w:rPr>
        <w:t>-</w:t>
      </w:r>
      <w:r w:rsidRPr="0080172D">
        <w:rPr>
          <w:rStyle w:val="Heading2Char"/>
          <w:rFonts w:ascii="Open Sans" w:hAnsi="Open Sans" w:cs="Open Sans"/>
          <w:color w:val="C00000"/>
          <w:sz w:val="32"/>
          <w:szCs w:val="32"/>
        </w:rPr>
        <w:t>19 and Hunger in the United States </w:t>
      </w:r>
    </w:p>
    <w:p w14:paraId="4BCB09AE" w14:textId="208E4CD8" w:rsidR="00D56DD5" w:rsidRPr="0080172D" w:rsidRDefault="00FE26C3" w:rsidP="00D56DD5">
      <w:pPr>
        <w:spacing w:line="276" w:lineRule="auto"/>
        <w:rPr>
          <w:rFonts w:ascii="Open Sans" w:hAnsi="Open Sans" w:cs="Open Sans"/>
          <w:sz w:val="20"/>
          <w:szCs w:val="20"/>
        </w:rPr>
      </w:pPr>
      <w:r w:rsidRPr="0080172D">
        <w:rPr>
          <w:rFonts w:ascii="Open Sans" w:hAnsi="Open Sans" w:cs="Open Sans"/>
          <w:noProof/>
        </w:rPr>
        <w:drawing>
          <wp:anchor distT="0" distB="0" distL="114300" distR="114300" simplePos="0" relativeHeight="251640320" behindDoc="0" locked="0" layoutInCell="1" allowOverlap="1" wp14:anchorId="6748CB65" wp14:editId="17AF908F">
            <wp:simplePos x="0" y="0"/>
            <wp:positionH relativeFrom="margin">
              <wp:posOffset>12700</wp:posOffset>
            </wp:positionH>
            <wp:positionV relativeFrom="paragraph">
              <wp:posOffset>1716405</wp:posOffset>
            </wp:positionV>
            <wp:extent cx="5943600" cy="3575685"/>
            <wp:effectExtent l="0" t="0" r="0" b="5715"/>
            <wp:wrapSquare wrapText="bothSides"/>
            <wp:docPr id="12301720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6">
                      <a:extLst>
                        <a:ext uri="{28A0092B-C50C-407E-A947-70E740481C1C}">
                          <a14:useLocalDpi xmlns:a14="http://schemas.microsoft.com/office/drawing/2010/main" val="0"/>
                        </a:ext>
                      </a:extLst>
                    </a:blip>
                    <a:stretch>
                      <a:fillRect/>
                    </a:stretch>
                  </pic:blipFill>
                  <pic:spPr>
                    <a:xfrm>
                      <a:off x="0" y="0"/>
                      <a:ext cx="5943600" cy="3575685"/>
                    </a:xfrm>
                    <a:prstGeom prst="rect">
                      <a:avLst/>
                    </a:prstGeom>
                  </pic:spPr>
                </pic:pic>
              </a:graphicData>
            </a:graphic>
            <wp14:sizeRelH relativeFrom="page">
              <wp14:pctWidth>0</wp14:pctWidth>
            </wp14:sizeRelH>
            <wp14:sizeRelV relativeFrom="page">
              <wp14:pctHeight>0</wp14:pctHeight>
            </wp14:sizeRelV>
          </wp:anchor>
        </w:drawing>
      </w:r>
      <w:r w:rsidR="00D56DD5" w:rsidRPr="0080172D">
        <w:rPr>
          <w:rFonts w:ascii="Open Sans" w:hAnsi="Open Sans" w:cs="Open Sans"/>
          <w:sz w:val="20"/>
          <w:szCs w:val="20"/>
        </w:rPr>
        <w:t>Despite the United States being the richest nation on the planet, millions of Americans experience food insecurity every day. The U.S. Department of Agriculture (USDA) defines food insecurity as a lack of consistent access to enough food for an active, healthy life.</w:t>
      </w:r>
      <w:r w:rsidR="00D56DD5" w:rsidRPr="0080172D">
        <w:rPr>
          <w:rFonts w:ascii="Open Sans" w:hAnsi="Open Sans" w:cs="Open Sans"/>
          <w:sz w:val="20"/>
          <w:szCs w:val="20"/>
          <w:vertAlign w:val="superscript"/>
        </w:rPr>
        <w:footnoteReference w:id="16"/>
      </w:r>
      <w:r w:rsidR="00D56DD5" w:rsidRPr="0080172D">
        <w:rPr>
          <w:rFonts w:ascii="Open Sans" w:hAnsi="Open Sans" w:cs="Open Sans"/>
          <w:sz w:val="20"/>
          <w:szCs w:val="20"/>
        </w:rPr>
        <w:t> In 2018, an estimated 1 in 6 Americans lived in food insecure households—37 million Americans including 11 million children.</w:t>
      </w:r>
      <w:r w:rsidR="00D56DD5" w:rsidRPr="0080172D">
        <w:rPr>
          <w:rFonts w:ascii="Open Sans" w:hAnsi="Open Sans" w:cs="Open Sans"/>
          <w:sz w:val="20"/>
          <w:szCs w:val="20"/>
          <w:vertAlign w:val="superscript"/>
        </w:rPr>
        <w:footnoteReference w:id="17"/>
      </w:r>
      <w:r w:rsidR="00D56DD5" w:rsidRPr="0080172D">
        <w:rPr>
          <w:rFonts w:ascii="Open Sans" w:hAnsi="Open Sans" w:cs="Open Sans"/>
          <w:sz w:val="20"/>
          <w:szCs w:val="20"/>
        </w:rPr>
        <w:t xml:space="preserve"> Moreover, counties with the highest rates of food insecurity are overrepresented by counties with a majority African American population. Approximately 21.2 percent of Black households were food insecure versus 11.1 percent overall.</w:t>
      </w:r>
      <w:r w:rsidR="00D56DD5" w:rsidRPr="0080172D">
        <w:rPr>
          <w:rFonts w:ascii="Open Sans" w:hAnsi="Open Sans" w:cs="Open Sans"/>
          <w:sz w:val="20"/>
          <w:szCs w:val="20"/>
          <w:vertAlign w:val="superscript"/>
        </w:rPr>
        <w:footnoteReference w:id="18"/>
      </w:r>
      <w:r w:rsidR="00D56DD5" w:rsidRPr="0080172D">
        <w:rPr>
          <w:rFonts w:ascii="Open Sans" w:hAnsi="Open Sans" w:cs="Open Sans"/>
          <w:sz w:val="20"/>
          <w:szCs w:val="20"/>
        </w:rPr>
        <w:t xml:space="preserve"> Food insecurity affects both physical and mental health, even inhibiting children’s ability to learn in school. </w:t>
      </w:r>
    </w:p>
    <w:p w14:paraId="1AB15450" w14:textId="3C6C7B71" w:rsidR="00D56DD5" w:rsidRPr="0080172D" w:rsidRDefault="00D56DD5" w:rsidP="00D56DD5">
      <w:pPr>
        <w:spacing w:line="276" w:lineRule="auto"/>
        <w:rPr>
          <w:rFonts w:ascii="Open Sans" w:hAnsi="Open Sans" w:cs="Open Sans"/>
          <w:sz w:val="20"/>
          <w:szCs w:val="20"/>
        </w:rPr>
      </w:pPr>
      <w:commentRangeStart w:id="8"/>
      <w:commentRangeEnd w:id="8"/>
      <w:r w:rsidRPr="0080172D">
        <w:rPr>
          <w:rFonts w:ascii="Open Sans" w:hAnsi="Open Sans" w:cs="Open Sans"/>
          <w:sz w:val="20"/>
          <w:szCs w:val="20"/>
        </w:rPr>
        <w:t>First created in the 1960s under the name Food Stamp Program (FSP), the Supplemental Nutrition Assistance Program (SNAP) supports individuals and families who cannot access food for reasons of financial hardship. Participation in the program has steadily increased since its establishment with a single drop in the early 2000s.</w:t>
      </w:r>
      <w:r w:rsidRPr="0080172D">
        <w:rPr>
          <w:rFonts w:ascii="Open Sans" w:hAnsi="Open Sans" w:cs="Open Sans"/>
          <w:sz w:val="20"/>
          <w:szCs w:val="20"/>
          <w:vertAlign w:val="superscript"/>
        </w:rPr>
        <w:footnoteReference w:id="19"/>
      </w:r>
      <w:r w:rsidRPr="0080172D">
        <w:rPr>
          <w:rFonts w:ascii="Open Sans" w:hAnsi="Open Sans" w:cs="Open Sans"/>
          <w:sz w:val="20"/>
          <w:szCs w:val="20"/>
        </w:rPr>
        <w:t xml:space="preserve"> In practice, SNAP provides a monthly stipend to eligible low-income families for the purchase of food </w:t>
      </w:r>
      <w:r w:rsidR="005B4B34" w:rsidRPr="0080172D">
        <w:rPr>
          <w:rFonts w:ascii="Open Sans" w:hAnsi="Open Sans" w:cs="Open Sans"/>
          <w:sz w:val="20"/>
          <w:szCs w:val="20"/>
        </w:rPr>
        <w:t xml:space="preserve">with </w:t>
      </w:r>
      <w:r w:rsidRPr="0080172D">
        <w:rPr>
          <w:rFonts w:ascii="Open Sans" w:hAnsi="Open Sans" w:cs="Open Sans"/>
          <w:sz w:val="20"/>
          <w:szCs w:val="20"/>
        </w:rPr>
        <w:t xml:space="preserve">either an Electronic Benefit Transfer (EBT) card or voucher. </w:t>
      </w:r>
      <w:r w:rsidRPr="0080172D">
        <w:rPr>
          <w:rFonts w:ascii="Open Sans" w:hAnsi="Open Sans" w:cs="Open Sans"/>
          <w:sz w:val="20"/>
          <w:szCs w:val="20"/>
        </w:rPr>
        <w:lastRenderedPageBreak/>
        <w:t xml:space="preserve">Eligibility for SNAP is based on household income and assets, and, because this is a federal entitlement program, all those who qualify and apply for benefits receive them. </w:t>
      </w:r>
    </w:p>
    <w:p w14:paraId="1FFC313E" w14:textId="4741535E" w:rsidR="00D56DD5" w:rsidRPr="0080172D" w:rsidRDefault="00D56DD5" w:rsidP="00D56DD5">
      <w:pPr>
        <w:spacing w:line="276" w:lineRule="auto"/>
        <w:rPr>
          <w:rFonts w:ascii="Open Sans" w:hAnsi="Open Sans" w:cs="Open Sans"/>
          <w:sz w:val="20"/>
          <w:szCs w:val="20"/>
        </w:rPr>
      </w:pPr>
      <w:r w:rsidRPr="0080172D">
        <w:rPr>
          <w:rFonts w:ascii="Open Sans" w:hAnsi="Open Sans" w:cs="Open Sans"/>
          <w:sz w:val="20"/>
          <w:szCs w:val="20"/>
        </w:rPr>
        <w:t>SNAP is the nation’s leading anti-hunger program for low-income working families, seniors, and people with disabilities living on fixed incomes. Nearly 70 percent of SNAP participants are in families with children; a third are in households with seniors or people with disabilities.</w:t>
      </w:r>
      <w:r w:rsidRPr="0080172D">
        <w:rPr>
          <w:rFonts w:ascii="Open Sans" w:hAnsi="Open Sans" w:cs="Open Sans"/>
          <w:sz w:val="20"/>
          <w:szCs w:val="20"/>
          <w:vertAlign w:val="superscript"/>
        </w:rPr>
        <w:footnoteReference w:id="20"/>
      </w:r>
      <w:r w:rsidRPr="0080172D">
        <w:rPr>
          <w:rFonts w:ascii="Open Sans" w:hAnsi="Open Sans" w:cs="Open Sans"/>
          <w:sz w:val="20"/>
          <w:szCs w:val="20"/>
        </w:rPr>
        <w:t xml:space="preserve"> Overall, SNAP is an impactful and flexible program designed to adapt to large-scale economic downturns. In February of 2020, the program helped over 36 million low-income Americans afford a nutritionally adequate diet,</w:t>
      </w:r>
      <w:r w:rsidRPr="0080172D">
        <w:rPr>
          <w:rFonts w:ascii="Open Sans" w:hAnsi="Open Sans" w:cs="Open Sans"/>
          <w:sz w:val="20"/>
          <w:szCs w:val="20"/>
          <w:vertAlign w:val="superscript"/>
        </w:rPr>
        <w:footnoteReference w:id="21"/>
      </w:r>
      <w:r w:rsidRPr="0080172D">
        <w:rPr>
          <w:rFonts w:ascii="Open Sans" w:hAnsi="Open Sans" w:cs="Open Sans"/>
          <w:sz w:val="20"/>
          <w:szCs w:val="20"/>
        </w:rPr>
        <w:t xml:space="preserve"> and participation is expected to increase as we continue to feel the effects of the current pandemic. According to the Census' Supplemental Poverty Measure, in 2018 SNAP lifted 3.21 million people above the federal poverty line, making it the third most effective anti-poverty program in the United States</w:t>
      </w:r>
      <w:r w:rsidR="005B4B34" w:rsidRPr="0080172D">
        <w:rPr>
          <w:rFonts w:ascii="Open Sans" w:hAnsi="Open Sans" w:cs="Open Sans"/>
          <w:sz w:val="20"/>
          <w:szCs w:val="20"/>
        </w:rPr>
        <w:t>.</w:t>
      </w:r>
      <w:r w:rsidRPr="0080172D">
        <w:rPr>
          <w:rFonts w:ascii="Open Sans" w:hAnsi="Open Sans" w:cs="Open Sans"/>
          <w:sz w:val="20"/>
          <w:szCs w:val="20"/>
          <w:vertAlign w:val="superscript"/>
        </w:rPr>
        <w:footnoteReference w:id="22"/>
      </w:r>
    </w:p>
    <w:p w14:paraId="28F9E97F" w14:textId="1555FB0F" w:rsidR="00D56DD5" w:rsidRPr="0080172D" w:rsidRDefault="005B4B34" w:rsidP="0080172D">
      <w:pPr>
        <w:pStyle w:val="Heading2"/>
        <w:rPr>
          <w:rFonts w:ascii="Open Sans" w:hAnsi="Open Sans" w:cs="Open Sans"/>
          <w:sz w:val="32"/>
          <w:szCs w:val="32"/>
        </w:rPr>
      </w:pPr>
      <w:bookmarkStart w:id="9" w:name="_Toc42319534"/>
      <w:r w:rsidRPr="0080172D">
        <w:rPr>
          <w:rFonts w:ascii="Open Sans" w:hAnsi="Open Sans" w:cs="Open Sans"/>
          <w:noProof/>
          <w:color w:val="C00000"/>
          <w:sz w:val="32"/>
          <w:szCs w:val="32"/>
        </w:rPr>
        <w:drawing>
          <wp:anchor distT="0" distB="0" distL="114300" distR="114300" simplePos="0" relativeHeight="251646464" behindDoc="1" locked="0" layoutInCell="1" allowOverlap="1" wp14:anchorId="00439280" wp14:editId="48BC7F5E">
            <wp:simplePos x="0" y="0"/>
            <wp:positionH relativeFrom="margin">
              <wp:align>left</wp:align>
            </wp:positionH>
            <wp:positionV relativeFrom="paragraph">
              <wp:posOffset>13154</wp:posOffset>
            </wp:positionV>
            <wp:extent cx="2547510" cy="3307080"/>
            <wp:effectExtent l="0" t="0" r="5715" b="7620"/>
            <wp:wrapTight wrapText="bothSides">
              <wp:wrapPolygon edited="0">
                <wp:start x="0" y="0"/>
                <wp:lineTo x="0" y="21525"/>
                <wp:lineTo x="21487" y="21525"/>
                <wp:lineTo x="2148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547510" cy="3307080"/>
                    </a:xfrm>
                    <a:prstGeom prst="rect">
                      <a:avLst/>
                    </a:prstGeom>
                  </pic:spPr>
                </pic:pic>
              </a:graphicData>
            </a:graphic>
            <wp14:sizeRelH relativeFrom="margin">
              <wp14:pctWidth>0</wp14:pctWidth>
            </wp14:sizeRelH>
            <wp14:sizeRelV relativeFrom="margin">
              <wp14:pctHeight>0</wp14:pctHeight>
            </wp14:sizeRelV>
          </wp:anchor>
        </w:drawing>
      </w:r>
      <w:r w:rsidR="00D56DD5" w:rsidRPr="0080172D">
        <w:rPr>
          <w:rFonts w:ascii="Open Sans" w:hAnsi="Open Sans" w:cs="Open Sans"/>
          <w:color w:val="C00000"/>
          <w:sz w:val="32"/>
          <w:szCs w:val="32"/>
        </w:rPr>
        <w:t>Food Assistance During a Pandemic</w:t>
      </w:r>
      <w:bookmarkEnd w:id="9"/>
      <w:r w:rsidR="00D56DD5" w:rsidRPr="0080172D">
        <w:rPr>
          <w:rFonts w:ascii="Open Sans" w:hAnsi="Open Sans" w:cs="Open Sans"/>
          <w:sz w:val="32"/>
          <w:szCs w:val="32"/>
        </w:rPr>
        <w:t xml:space="preserve"> </w:t>
      </w:r>
    </w:p>
    <w:p w14:paraId="33C64960" w14:textId="0C8B6BC8" w:rsidR="00D56DD5" w:rsidRPr="0080172D" w:rsidRDefault="00D56DD5" w:rsidP="0080172D">
      <w:pPr>
        <w:spacing w:line="276" w:lineRule="auto"/>
        <w:rPr>
          <w:rFonts w:ascii="Open Sans" w:hAnsi="Open Sans" w:cs="Open Sans"/>
          <w:sz w:val="20"/>
          <w:szCs w:val="20"/>
        </w:rPr>
      </w:pPr>
      <w:r w:rsidRPr="0080172D">
        <w:rPr>
          <w:rFonts w:ascii="Open Sans" w:hAnsi="Open Sans" w:cs="Open Sans"/>
          <w:sz w:val="20"/>
          <w:szCs w:val="20"/>
        </w:rPr>
        <w:t>For the families and individuals already struggling before the pandemic as well as those who lost jobs due to the emergency response, food assistance programs are vital. Per a nationally representative survey of nonelderly adults conducted between March 25</w:t>
      </w:r>
      <w:r w:rsidRPr="0080172D">
        <w:rPr>
          <w:rFonts w:ascii="Open Sans" w:hAnsi="Open Sans" w:cs="Open Sans"/>
          <w:sz w:val="20"/>
          <w:szCs w:val="20"/>
          <w:vertAlign w:val="superscript"/>
        </w:rPr>
        <w:t>th</w:t>
      </w:r>
      <w:r w:rsidRPr="0080172D">
        <w:rPr>
          <w:rFonts w:ascii="Open Sans" w:hAnsi="Open Sans" w:cs="Open Sans"/>
          <w:sz w:val="20"/>
          <w:szCs w:val="20"/>
        </w:rPr>
        <w:t xml:space="preserve"> and April 10</w:t>
      </w:r>
      <w:r w:rsidRPr="0080172D">
        <w:rPr>
          <w:rFonts w:ascii="Open Sans" w:hAnsi="Open Sans" w:cs="Open Sans"/>
          <w:sz w:val="20"/>
          <w:szCs w:val="20"/>
          <w:vertAlign w:val="superscript"/>
        </w:rPr>
        <w:t>th</w:t>
      </w:r>
      <w:r w:rsidRPr="0080172D">
        <w:rPr>
          <w:rFonts w:ascii="Open Sans" w:hAnsi="Open Sans" w:cs="Open Sans"/>
          <w:sz w:val="20"/>
          <w:szCs w:val="20"/>
        </w:rPr>
        <w:t>, the number of food insecure households has doubled from 11 percent in 2018 to 20 percent. More than one in five Americans experienced food insecurity in the early weeks of the pandemic.</w:t>
      </w:r>
      <w:r w:rsidRPr="0080172D">
        <w:rPr>
          <w:rFonts w:ascii="Open Sans" w:hAnsi="Open Sans" w:cs="Open Sans"/>
          <w:sz w:val="20"/>
          <w:szCs w:val="20"/>
          <w:vertAlign w:val="superscript"/>
        </w:rPr>
        <w:footnoteReference w:id="23"/>
      </w:r>
    </w:p>
    <w:p w14:paraId="7EA670E0" w14:textId="5AE23727" w:rsidR="00D56DD5" w:rsidRPr="0080172D" w:rsidRDefault="00D56DD5" w:rsidP="0080172D">
      <w:pPr>
        <w:spacing w:line="276" w:lineRule="auto"/>
        <w:rPr>
          <w:rFonts w:ascii="Open Sans" w:hAnsi="Open Sans" w:cs="Open Sans"/>
          <w:sz w:val="20"/>
          <w:szCs w:val="20"/>
        </w:rPr>
      </w:pPr>
      <w:r w:rsidRPr="0080172D">
        <w:rPr>
          <w:rFonts w:ascii="Open Sans" w:hAnsi="Open Sans" w:cs="Open Sans"/>
          <w:sz w:val="20"/>
          <w:szCs w:val="20"/>
        </w:rPr>
        <w:t>According to researchers at the Center on Budget and Policy Priorities, SNAP participation also sharply increased between March 25</w:t>
      </w:r>
      <w:r w:rsidRPr="0080172D">
        <w:rPr>
          <w:rFonts w:ascii="Open Sans" w:hAnsi="Open Sans" w:cs="Open Sans"/>
          <w:sz w:val="20"/>
          <w:szCs w:val="20"/>
          <w:vertAlign w:val="superscript"/>
        </w:rPr>
        <w:t>th</w:t>
      </w:r>
      <w:r w:rsidRPr="0080172D">
        <w:rPr>
          <w:rFonts w:ascii="Open Sans" w:hAnsi="Open Sans" w:cs="Open Sans"/>
          <w:sz w:val="20"/>
          <w:szCs w:val="20"/>
        </w:rPr>
        <w:t xml:space="preserve"> and April 10</w:t>
      </w:r>
      <w:r w:rsidRPr="0080172D">
        <w:rPr>
          <w:rFonts w:ascii="Open Sans" w:hAnsi="Open Sans" w:cs="Open Sans"/>
          <w:sz w:val="20"/>
          <w:szCs w:val="20"/>
          <w:vertAlign w:val="superscript"/>
        </w:rPr>
        <w:t>th</w:t>
      </w:r>
      <w:r w:rsidRPr="0080172D">
        <w:rPr>
          <w:rFonts w:ascii="Open Sans" w:hAnsi="Open Sans" w:cs="Open Sans"/>
          <w:sz w:val="20"/>
          <w:szCs w:val="20"/>
        </w:rPr>
        <w:t>.</w:t>
      </w:r>
      <w:r w:rsidRPr="0080172D">
        <w:rPr>
          <w:rFonts w:ascii="Open Sans" w:hAnsi="Open Sans" w:cs="Open Sans"/>
          <w:sz w:val="20"/>
          <w:szCs w:val="20"/>
          <w:vertAlign w:val="superscript"/>
        </w:rPr>
        <w:footnoteReference w:id="24"/>
      </w:r>
      <w:r w:rsidRPr="0080172D">
        <w:rPr>
          <w:rFonts w:ascii="Open Sans" w:hAnsi="Open Sans" w:cs="Open Sans"/>
          <w:sz w:val="20"/>
          <w:szCs w:val="20"/>
        </w:rPr>
        <w:t xml:space="preserve"> SNAP serves as a frontline defense against food insecurity, poverty, and the long-term detriments that have been exacerbated due to the current pandemic. By providing families with a grocery benefit they can use </w:t>
      </w:r>
      <w:r w:rsidRPr="0080172D">
        <w:rPr>
          <w:rFonts w:ascii="Open Sans" w:hAnsi="Open Sans" w:cs="Open Sans"/>
          <w:sz w:val="20"/>
          <w:szCs w:val="20"/>
        </w:rPr>
        <w:lastRenderedPageBreak/>
        <w:t>to purchase food directly, SNAP is a safe, effective way to ensure that low-income children, families, and seniors can get the food they need.</w:t>
      </w:r>
    </w:p>
    <w:p w14:paraId="524542ED" w14:textId="0306E6BC" w:rsidR="00D56DD5" w:rsidRPr="0080172D" w:rsidRDefault="00D56DD5" w:rsidP="00D56DD5">
      <w:pPr>
        <w:spacing w:line="276" w:lineRule="auto"/>
        <w:rPr>
          <w:rFonts w:ascii="Open Sans" w:hAnsi="Open Sans" w:cs="Open Sans"/>
          <w:sz w:val="20"/>
          <w:szCs w:val="20"/>
        </w:rPr>
      </w:pPr>
      <w:r w:rsidRPr="0080172D">
        <w:rPr>
          <w:rFonts w:ascii="Open Sans" w:hAnsi="Open Sans" w:cs="Open Sans"/>
          <w:sz w:val="20"/>
          <w:szCs w:val="20"/>
        </w:rPr>
        <w:t>The unemployment rate jumped from 4.4 to 14.7 percent in April</w:t>
      </w:r>
      <w:r w:rsidRPr="0080172D">
        <w:rPr>
          <w:rFonts w:ascii="Open Sans" w:hAnsi="Open Sans" w:cs="Open Sans"/>
          <w:sz w:val="20"/>
          <w:szCs w:val="20"/>
          <w:vertAlign w:val="superscript"/>
        </w:rPr>
        <w:footnoteReference w:id="25"/>
      </w:r>
      <w:r w:rsidRPr="0080172D">
        <w:rPr>
          <w:rFonts w:ascii="Open Sans" w:hAnsi="Open Sans" w:cs="Open Sans"/>
          <w:sz w:val="20"/>
          <w:szCs w:val="20"/>
        </w:rPr>
        <w:t xml:space="preserve"> with a slight decline to 13.3 percent in May according to the most recent jobs report. However, the black unemployment rate has stayed stagnant at over 16 percent.</w:t>
      </w:r>
      <w:r w:rsidRPr="0080172D">
        <w:rPr>
          <w:rFonts w:ascii="Open Sans" w:hAnsi="Open Sans" w:cs="Open Sans"/>
          <w:sz w:val="20"/>
          <w:szCs w:val="20"/>
          <w:vertAlign w:val="superscript"/>
        </w:rPr>
        <w:footnoteReference w:id="26"/>
      </w:r>
      <w:r w:rsidRPr="0080172D">
        <w:rPr>
          <w:rFonts w:ascii="Open Sans" w:hAnsi="Open Sans" w:cs="Open Sans"/>
          <w:sz w:val="20"/>
          <w:szCs w:val="20"/>
        </w:rPr>
        <w:t xml:space="preserve"> In response to mass unemployment, 31.0 percent of households reported that their family had to cut back spending on food. An estimated 9.3 percent identified as hungry, or of very low food security, including 10.8 percent of parents with children younger than 6, 17.5 percent of black parents, and 13.0 percent of Hispanic parents.</w:t>
      </w:r>
      <w:r w:rsidRPr="0080172D">
        <w:rPr>
          <w:rFonts w:ascii="Open Sans" w:hAnsi="Open Sans" w:cs="Open Sans"/>
          <w:sz w:val="20"/>
          <w:szCs w:val="20"/>
          <w:vertAlign w:val="superscript"/>
        </w:rPr>
        <w:footnoteReference w:id="27"/>
      </w:r>
      <w:r w:rsidRPr="0080172D">
        <w:rPr>
          <w:rFonts w:ascii="Open Sans" w:hAnsi="Open Sans" w:cs="Open Sans"/>
          <w:sz w:val="20"/>
          <w:szCs w:val="20"/>
        </w:rPr>
        <w:t xml:space="preserve"> Researchers at Feeding America have predicted that if the unemployment rate remains greater than 11 percent for the duration of 2020, the annual food insecurity rate will reach 16.7 percent, affecting 54.3 million Americans.</w:t>
      </w:r>
      <w:r w:rsidRPr="0080172D">
        <w:rPr>
          <w:rFonts w:ascii="Open Sans" w:hAnsi="Open Sans" w:cs="Open Sans"/>
          <w:sz w:val="20"/>
          <w:szCs w:val="20"/>
          <w:vertAlign w:val="superscript"/>
        </w:rPr>
        <w:footnoteReference w:id="28"/>
      </w:r>
      <w:r w:rsidRPr="0080172D">
        <w:rPr>
          <w:rFonts w:ascii="Open Sans" w:hAnsi="Open Sans" w:cs="Open Sans"/>
          <w:sz w:val="20"/>
          <w:szCs w:val="20"/>
        </w:rPr>
        <w:t xml:space="preserve"> </w:t>
      </w:r>
    </w:p>
    <w:p w14:paraId="22019FFB" w14:textId="0DE508D1" w:rsidR="00D56DD5" w:rsidRPr="0080172D" w:rsidRDefault="00BC1BFD" w:rsidP="0080172D">
      <w:pPr>
        <w:spacing w:line="276" w:lineRule="auto"/>
        <w:rPr>
          <w:rFonts w:ascii="Open Sans" w:hAnsi="Open Sans" w:cs="Open Sans"/>
          <w:b/>
          <w:bCs/>
          <w:sz w:val="20"/>
          <w:szCs w:val="20"/>
        </w:rPr>
      </w:pPr>
      <w:r w:rsidRPr="0080172D">
        <w:rPr>
          <w:rFonts w:ascii="Open Sans" w:hAnsi="Open Sans" w:cs="Open Sans"/>
          <w:noProof/>
          <w:sz w:val="20"/>
          <w:szCs w:val="20"/>
        </w:rPr>
        <w:drawing>
          <wp:anchor distT="0" distB="0" distL="114300" distR="114300" simplePos="0" relativeHeight="251644416" behindDoc="0" locked="0" layoutInCell="1" allowOverlap="1" wp14:anchorId="34D420B7" wp14:editId="026F01D5">
            <wp:simplePos x="0" y="0"/>
            <wp:positionH relativeFrom="margin">
              <wp:align>left</wp:align>
            </wp:positionH>
            <wp:positionV relativeFrom="paragraph">
              <wp:posOffset>32385</wp:posOffset>
            </wp:positionV>
            <wp:extent cx="3924300" cy="2544445"/>
            <wp:effectExtent l="0" t="0" r="0" b="8255"/>
            <wp:wrapSquare wrapText="bothSides"/>
            <wp:docPr id="711225542" name="Picture 711225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3924300" cy="2544445"/>
                    </a:xfrm>
                    <a:prstGeom prst="rect">
                      <a:avLst/>
                    </a:prstGeom>
                  </pic:spPr>
                </pic:pic>
              </a:graphicData>
            </a:graphic>
            <wp14:sizeRelH relativeFrom="page">
              <wp14:pctWidth>0</wp14:pctWidth>
            </wp14:sizeRelH>
            <wp14:sizeRelV relativeFrom="page">
              <wp14:pctHeight>0</wp14:pctHeight>
            </wp14:sizeRelV>
          </wp:anchor>
        </w:drawing>
      </w:r>
      <w:r w:rsidR="00D56DD5" w:rsidRPr="0080172D">
        <w:rPr>
          <w:rFonts w:ascii="Open Sans" w:hAnsi="Open Sans" w:cs="Open Sans"/>
          <w:sz w:val="20"/>
          <w:szCs w:val="20"/>
        </w:rPr>
        <w:t xml:space="preserve">The unprecedented disruption to the economy, incomes, and employment triggered by COVID19 means that communities will need every option available to fight hunger and strengthen the economy. We at RESULTS appreciate the investments and economic supports provided for in the CARES Act to help laid-off workers, older Americans, and children, but the legislation did not include provisions to strengthen the Supplemental Nutrition Assistance Program (SNAP). Despite the unemployment rates slight decrease in May, food insecurity has not improved, especially for households with children. We therefore strongly urge Congress and the Administration to increase the SNAP benefit levels in the next federal COVID-19 relief package. </w:t>
      </w:r>
    </w:p>
    <w:p w14:paraId="280BE6B5" w14:textId="2F4196BD" w:rsidR="00D56DD5" w:rsidRPr="0080172D" w:rsidRDefault="00D56DD5" w:rsidP="0080172D">
      <w:pPr>
        <w:spacing w:line="276" w:lineRule="auto"/>
        <w:rPr>
          <w:rFonts w:ascii="Open Sans" w:hAnsi="Open Sans" w:cs="Open Sans"/>
          <w:b/>
          <w:bCs/>
          <w:sz w:val="20"/>
          <w:szCs w:val="20"/>
        </w:rPr>
      </w:pPr>
      <w:r w:rsidRPr="0080172D">
        <w:rPr>
          <w:rFonts w:ascii="Open Sans" w:hAnsi="Open Sans" w:cs="Open Sans"/>
          <w:b/>
          <w:bCs/>
          <w:sz w:val="20"/>
          <w:szCs w:val="20"/>
        </w:rPr>
        <w:t>Given the extraordinary increase in need during this public health pandemic and related economic crisis, we urge Congress to use the next federal relief package to strengthen SNAP by increasing the maximum benefit available to all households by 15% and increasing the minimum benefit from $16 dollars to $30.</w:t>
      </w:r>
      <w:r w:rsidRPr="0080172D">
        <w:rPr>
          <w:rFonts w:ascii="Open Sans" w:hAnsi="Open Sans" w:cs="Open Sans"/>
          <w:sz w:val="20"/>
          <w:szCs w:val="20"/>
        </w:rPr>
        <w:t xml:space="preserve"> Researchers at the University of Kentucky</w:t>
      </w:r>
      <w:r w:rsidRPr="0080172D">
        <w:rPr>
          <w:rFonts w:ascii="Open Sans" w:hAnsi="Open Sans" w:cs="Open Sans"/>
          <w:sz w:val="20"/>
          <w:szCs w:val="20"/>
          <w:vertAlign w:val="superscript"/>
        </w:rPr>
        <w:t xml:space="preserve"> </w:t>
      </w:r>
      <w:r w:rsidRPr="0080172D">
        <w:rPr>
          <w:rFonts w:ascii="Open Sans" w:hAnsi="Open Sans" w:cs="Open Sans"/>
          <w:sz w:val="20"/>
          <w:szCs w:val="20"/>
          <w:vertAlign w:val="superscript"/>
        </w:rPr>
        <w:footnoteReference w:id="29"/>
      </w:r>
      <w:r w:rsidRPr="0080172D">
        <w:rPr>
          <w:rFonts w:ascii="Open Sans" w:hAnsi="Open Sans" w:cs="Open Sans"/>
          <w:sz w:val="20"/>
          <w:szCs w:val="20"/>
        </w:rPr>
        <w:t xml:space="preserve"> and from </w:t>
      </w:r>
      <w:r w:rsidRPr="0080172D">
        <w:rPr>
          <w:rFonts w:ascii="Open Sans" w:hAnsi="Open Sans" w:cs="Open Sans"/>
          <w:sz w:val="20"/>
          <w:szCs w:val="20"/>
        </w:rPr>
        <w:lastRenderedPageBreak/>
        <w:t>Dartmouth and Wellesley Colleges</w:t>
      </w:r>
      <w:r w:rsidRPr="0080172D">
        <w:rPr>
          <w:rFonts w:ascii="Open Sans" w:hAnsi="Open Sans" w:cs="Open Sans"/>
          <w:sz w:val="20"/>
          <w:szCs w:val="20"/>
          <w:vertAlign w:val="superscript"/>
        </w:rPr>
        <w:footnoteReference w:id="30"/>
      </w:r>
      <w:r w:rsidRPr="0080172D">
        <w:rPr>
          <w:rFonts w:ascii="Open Sans" w:hAnsi="Open Sans" w:cs="Open Sans"/>
          <w:sz w:val="20"/>
          <w:szCs w:val="20"/>
        </w:rPr>
        <w:t> found that an increase in the level of SNAP benefits would reduce food insecurity and increase consumption of more nutritious foods. Boosting the maximum SNAP benefits by 15 percent would provide an extra $100 a month for an average family of four.</w:t>
      </w:r>
      <w:r w:rsidRPr="0080172D">
        <w:rPr>
          <w:rFonts w:ascii="Open Sans" w:hAnsi="Open Sans" w:cs="Open Sans"/>
          <w:sz w:val="20"/>
          <w:szCs w:val="20"/>
          <w:vertAlign w:val="superscript"/>
        </w:rPr>
        <w:footnoteReference w:id="31"/>
      </w:r>
      <w:r w:rsidRPr="0080172D">
        <w:rPr>
          <w:rFonts w:ascii="Open Sans" w:hAnsi="Open Sans" w:cs="Open Sans"/>
          <w:sz w:val="20"/>
          <w:szCs w:val="20"/>
        </w:rPr>
        <w:t xml:space="preserve"> The Children’s Defense Fund reports that a permanent expansion of SNAP benefits would reduce child poverty by 16 percent, affecting 1.8 million children.</w:t>
      </w:r>
      <w:r w:rsidRPr="0080172D">
        <w:rPr>
          <w:rFonts w:ascii="Open Sans" w:hAnsi="Open Sans" w:cs="Open Sans"/>
          <w:sz w:val="20"/>
          <w:szCs w:val="20"/>
          <w:vertAlign w:val="superscript"/>
        </w:rPr>
        <w:t> </w:t>
      </w:r>
      <w:r w:rsidRPr="0080172D">
        <w:rPr>
          <w:rFonts w:ascii="Open Sans" w:hAnsi="Open Sans" w:cs="Open Sans"/>
          <w:sz w:val="20"/>
          <w:szCs w:val="20"/>
          <w:vertAlign w:val="superscript"/>
        </w:rPr>
        <w:footnoteReference w:id="32"/>
      </w:r>
      <w:r w:rsidRPr="0080172D">
        <w:rPr>
          <w:rFonts w:ascii="Open Sans" w:hAnsi="Open Sans" w:cs="Open Sans"/>
          <w:sz w:val="20"/>
          <w:szCs w:val="20"/>
        </w:rPr>
        <w:t>  These increases are needed to offset the significant loss in income and soaring unemployment resulting from COVID-19-related closures and disruptions.</w:t>
      </w:r>
    </w:p>
    <w:p w14:paraId="6B9E7575" w14:textId="77777777" w:rsidR="00D56DD5" w:rsidRPr="0080172D" w:rsidRDefault="00D56DD5" w:rsidP="00D56DD5">
      <w:pPr>
        <w:spacing w:line="276" w:lineRule="auto"/>
        <w:rPr>
          <w:rFonts w:ascii="Open Sans" w:hAnsi="Open Sans" w:cs="Open Sans"/>
          <w:sz w:val="20"/>
          <w:szCs w:val="20"/>
        </w:rPr>
      </w:pPr>
      <w:r w:rsidRPr="0080172D">
        <w:rPr>
          <w:rFonts w:ascii="Open Sans" w:hAnsi="Open Sans" w:cs="Open Sans"/>
          <w:sz w:val="20"/>
          <w:szCs w:val="20"/>
        </w:rPr>
        <w:t xml:space="preserve">Strengthening SNAP will not only feed </w:t>
      </w:r>
      <w:proofErr w:type="gramStart"/>
      <w:r w:rsidRPr="0080172D">
        <w:rPr>
          <w:rFonts w:ascii="Open Sans" w:hAnsi="Open Sans" w:cs="Open Sans"/>
          <w:sz w:val="20"/>
          <w:szCs w:val="20"/>
        </w:rPr>
        <w:t>families, but</w:t>
      </w:r>
      <w:proofErr w:type="gramEnd"/>
      <w:r w:rsidRPr="0080172D">
        <w:rPr>
          <w:rFonts w:ascii="Open Sans" w:hAnsi="Open Sans" w:cs="Open Sans"/>
          <w:sz w:val="20"/>
          <w:szCs w:val="20"/>
        </w:rPr>
        <w:t xml:space="preserve"> boost the economy. Economists estimate that every dollar in federally funded SNAP benefits during a recession generates between $1.50 and $1.80 in economic activity because it frees cash for poor households to buy other essential items, like diapers and medication, and provides revenue directly to stores, thus helping maintain local jobs. The U.S. Department of Agriculture’s Economic Research Service estimates that every $1 billion invested in SNAP supports 13,600 jobs and approximately $32 million in farm revenue.</w:t>
      </w:r>
      <w:r w:rsidRPr="0080172D">
        <w:rPr>
          <w:rFonts w:ascii="Open Sans" w:hAnsi="Open Sans" w:cs="Open Sans"/>
          <w:sz w:val="20"/>
          <w:szCs w:val="20"/>
          <w:vertAlign w:val="superscript"/>
        </w:rPr>
        <w:footnoteReference w:id="33"/>
      </w:r>
      <w:r w:rsidRPr="0080172D">
        <w:rPr>
          <w:rFonts w:ascii="Open Sans" w:hAnsi="Open Sans" w:cs="Open Sans"/>
          <w:sz w:val="20"/>
          <w:szCs w:val="20"/>
        </w:rPr>
        <w:t xml:space="preserve"> As the federal government continues to evaluate effective policies to stimulate the economy, we recommend that the increase to SNAP benefits as outlined above be kept in place until the economy recovers from its current shock. </w:t>
      </w:r>
    </w:p>
    <w:p w14:paraId="35DD4226" w14:textId="2C26EDEB" w:rsidR="009A2B37" w:rsidRPr="0080172D" w:rsidRDefault="00D56DD5" w:rsidP="0080172D">
      <w:pPr>
        <w:rPr>
          <w:rFonts w:ascii="Open Sans" w:eastAsiaTheme="majorEastAsia" w:hAnsi="Open Sans" w:cs="Open Sans"/>
          <w:color w:val="C00000"/>
          <w:sz w:val="32"/>
          <w:szCs w:val="32"/>
        </w:rPr>
      </w:pPr>
      <w:r w:rsidRPr="0080172D">
        <w:rPr>
          <w:rFonts w:ascii="Open Sans" w:hAnsi="Open Sans" w:cs="Open Sans"/>
          <w:sz w:val="20"/>
          <w:szCs w:val="20"/>
        </w:rPr>
        <w:t xml:space="preserve">In addition, </w:t>
      </w:r>
      <w:hyperlink r:id="rId29" w:history="1">
        <w:r w:rsidRPr="00182E06">
          <w:rPr>
            <w:rStyle w:val="Hyperlink"/>
            <w:rFonts w:ascii="Open Sans" w:hAnsi="Open Sans" w:cs="Open Sans"/>
            <w:sz w:val="20"/>
            <w:szCs w:val="20"/>
            <w:u w:val="none"/>
          </w:rPr>
          <w:t>RESULTS supports efforts to suspend all proposed and final administrative rules</w:t>
        </w:r>
      </w:hyperlink>
      <w:r w:rsidRPr="0080172D">
        <w:rPr>
          <w:rFonts w:ascii="Open Sans" w:hAnsi="Open Sans" w:cs="Open Sans"/>
          <w:sz w:val="20"/>
          <w:szCs w:val="20"/>
        </w:rPr>
        <w:t xml:space="preserve"> that would terminate or weaken SNAP benefits, expand eligibility to young children enrolled in childcare feeding programs as well as college students, and waive harsh working requirements for the duration of the economic downturn. Placing harsher restrictions on program eligibility would have a negative impact on the participation of low-income families and children in need of financial relief. Furthermore, the overhead cost for implementing these regulations would divert vital state resources away from responding to the impact of COVID-19 on communities across the nation. Congress should act now to make these benefits more robust, which will ensure that everyone is able to put food on the table in the coming months and support the economic recovery. </w:t>
      </w:r>
      <w:r w:rsidRPr="0080172D">
        <w:rPr>
          <w:rFonts w:ascii="Open Sans" w:hAnsi="Open Sans" w:cs="Open Sans"/>
          <w:sz w:val="20"/>
          <w:szCs w:val="20"/>
        </w:rPr>
        <w:cr/>
      </w:r>
    </w:p>
    <w:p w14:paraId="142AB380" w14:textId="77777777" w:rsidR="00D56DD5" w:rsidRPr="0080172D" w:rsidRDefault="00D56DD5" w:rsidP="0080172D">
      <w:pPr>
        <w:rPr>
          <w:rFonts w:ascii="Open Sans" w:eastAsiaTheme="majorEastAsia" w:hAnsi="Open Sans" w:cs="Open Sans"/>
          <w:color w:val="C00000"/>
          <w:sz w:val="32"/>
          <w:szCs w:val="32"/>
        </w:rPr>
      </w:pPr>
      <w:bookmarkStart w:id="10" w:name="_Toc42319535"/>
      <w:r w:rsidRPr="0080172D">
        <w:rPr>
          <w:rFonts w:ascii="Open Sans" w:eastAsiaTheme="majorEastAsia" w:hAnsi="Open Sans" w:cs="Open Sans"/>
          <w:color w:val="C00000"/>
          <w:sz w:val="32"/>
          <w:szCs w:val="32"/>
        </w:rPr>
        <w:lastRenderedPageBreak/>
        <w:t>Background on Tax Credits for Low-Income Workers and Families</w:t>
      </w:r>
      <w:bookmarkEnd w:id="10"/>
      <w:r w:rsidRPr="0080172D">
        <w:rPr>
          <w:rFonts w:ascii="Open Sans" w:eastAsiaTheme="majorEastAsia" w:hAnsi="Open Sans" w:cs="Open Sans"/>
          <w:color w:val="C00000"/>
          <w:sz w:val="32"/>
          <w:szCs w:val="32"/>
        </w:rPr>
        <w:t xml:space="preserve"> </w:t>
      </w:r>
    </w:p>
    <w:p w14:paraId="4534F796" w14:textId="2BDB6F68" w:rsidR="00D56DD5" w:rsidRPr="0080172D" w:rsidRDefault="00D56DD5" w:rsidP="00D56DD5">
      <w:pPr>
        <w:spacing w:line="276" w:lineRule="auto"/>
        <w:rPr>
          <w:rFonts w:ascii="Open Sans" w:hAnsi="Open Sans" w:cs="Open Sans"/>
          <w:sz w:val="20"/>
          <w:szCs w:val="20"/>
        </w:rPr>
      </w:pPr>
      <w:r w:rsidRPr="0080172D">
        <w:rPr>
          <w:rFonts w:ascii="Open Sans" w:hAnsi="Open Sans" w:cs="Open Sans"/>
          <w:sz w:val="20"/>
          <w:szCs w:val="20"/>
        </w:rPr>
        <w:t>While working more broadly to reduce racial wealth inequality, RESULTS focuses on expanding opportunities for low-income individuals and families to move up the economic ladder. Many of America’s low-income working families are struggling to stay afloat as costs have risen faster than their pay over several decades, and too many parents with low incomes struggle to provide for their kids’ basic needs. As colleagues writing about state tax policy at the Center on Budget and Policy Priorities note, “</w:t>
      </w:r>
      <w:r w:rsidRPr="0080172D">
        <w:rPr>
          <w:rFonts w:ascii="Open Sans" w:hAnsi="Open Sans" w:cs="Open Sans"/>
          <w:i/>
          <w:iCs/>
          <w:sz w:val="20"/>
          <w:szCs w:val="20"/>
        </w:rPr>
        <w:t>we know that white supremacy and structural racism created — and perpetuate — disparities in power, resources, and opportunities in ways that systematically disadvantage communities of color and preserve the privilege of an elite, largely white class… As a result of these and other barriers, the wealthiest 10 percent of white households hold nearly two-thirds of the country’s wealth, and other white households about another fifth, leaving only 13 percent for everyone else</w:t>
      </w:r>
      <w:r w:rsidRPr="0080172D">
        <w:rPr>
          <w:rFonts w:ascii="Open Sans" w:hAnsi="Open Sans" w:cs="Open Sans"/>
          <w:sz w:val="20"/>
          <w:szCs w:val="20"/>
        </w:rPr>
        <w:t>.”</w:t>
      </w:r>
      <w:r w:rsidR="00290AE0" w:rsidRPr="0080172D">
        <w:rPr>
          <w:rStyle w:val="FootnoteReference"/>
          <w:rFonts w:ascii="Open Sans" w:hAnsi="Open Sans" w:cs="Open Sans"/>
          <w:sz w:val="20"/>
          <w:szCs w:val="20"/>
        </w:rPr>
        <w:footnoteReference w:id="34"/>
      </w:r>
      <w:r w:rsidRPr="0080172D">
        <w:rPr>
          <w:rFonts w:ascii="Open Sans" w:hAnsi="Open Sans" w:cs="Open Sans"/>
          <w:sz w:val="20"/>
          <w:szCs w:val="20"/>
        </w:rPr>
        <w:t xml:space="preserve"> Tax policy perpetuates </w:t>
      </w:r>
      <w:r w:rsidR="00A46EBB" w:rsidRPr="0080172D">
        <w:rPr>
          <w:rFonts w:ascii="Open Sans" w:hAnsi="Open Sans" w:cs="Open Sans"/>
          <w:sz w:val="20"/>
          <w:szCs w:val="20"/>
        </w:rPr>
        <w:t>inequality but</w:t>
      </w:r>
      <w:r w:rsidRPr="0080172D">
        <w:rPr>
          <w:rFonts w:ascii="Open Sans" w:hAnsi="Open Sans" w:cs="Open Sans"/>
          <w:sz w:val="20"/>
          <w:szCs w:val="20"/>
        </w:rPr>
        <w:t xml:space="preserve"> changing tax policy can help to close the racial wealth divide and decrease poverty rates. And, within our current public health and economic crises, tax policies that reduce disparities are critical.</w:t>
      </w:r>
    </w:p>
    <w:p w14:paraId="47683006" w14:textId="5806EF60" w:rsidR="00D56DD5" w:rsidRPr="0080172D" w:rsidRDefault="00D56DD5" w:rsidP="00D56DD5">
      <w:pPr>
        <w:spacing w:line="276" w:lineRule="auto"/>
        <w:rPr>
          <w:rFonts w:ascii="Open Sans" w:hAnsi="Open Sans" w:cs="Open Sans"/>
          <w:sz w:val="20"/>
          <w:szCs w:val="20"/>
        </w:rPr>
      </w:pPr>
      <w:r w:rsidRPr="0080172D">
        <w:rPr>
          <w:rFonts w:ascii="Open Sans" w:hAnsi="Open Sans" w:cs="Open Sans"/>
          <w:sz w:val="20"/>
          <w:szCs w:val="20"/>
        </w:rPr>
        <w:t xml:space="preserve">We support features of the tax code that assist working families, such as the Earned Income Tax Credit (EITC) and the Child Tax Credit (CTC). </w:t>
      </w:r>
      <w:r w:rsidR="00E76AD6" w:rsidRPr="0080172D">
        <w:rPr>
          <w:rFonts w:ascii="Open Sans" w:hAnsi="Open Sans" w:cs="Open Sans"/>
          <w:sz w:val="20"/>
          <w:szCs w:val="20"/>
        </w:rPr>
        <w:t xml:space="preserve"> </w:t>
      </w:r>
      <w:r w:rsidRPr="0080172D">
        <w:rPr>
          <w:rFonts w:ascii="Open Sans" w:hAnsi="Open Sans" w:cs="Open Sans"/>
          <w:sz w:val="20"/>
          <w:szCs w:val="20"/>
        </w:rPr>
        <w:t xml:space="preserve">The EITC and CTC work because they’re both refundable, either fully or partially. For low-to-moderate-income (LMI) families, refundable tax credits are critical supplements to income and can also be essential saving tools at tax time. The EITC is fully refundable, meaning that if it exceeds a low-wage worker’s income tax liability (what they owe on taxes), the IRS will refund the balance. </w:t>
      </w:r>
      <w:r w:rsidR="00F31515">
        <w:rPr>
          <w:rFonts w:ascii="Open Sans" w:hAnsi="Open Sans" w:cs="Open Sans"/>
          <w:sz w:val="20"/>
          <w:szCs w:val="20"/>
        </w:rPr>
        <w:t>The</w:t>
      </w:r>
      <w:r w:rsidRPr="0080172D">
        <w:rPr>
          <w:rFonts w:ascii="Open Sans" w:hAnsi="Open Sans" w:cs="Open Sans"/>
          <w:sz w:val="20"/>
          <w:szCs w:val="20"/>
        </w:rPr>
        <w:t xml:space="preserve"> average EITC refund was $</w:t>
      </w:r>
      <w:r w:rsidR="00F31515">
        <w:rPr>
          <w:rFonts w:ascii="Open Sans" w:hAnsi="Open Sans" w:cs="Open Sans"/>
          <w:sz w:val="20"/>
          <w:szCs w:val="20"/>
        </w:rPr>
        <w:t>2,476</w:t>
      </w:r>
      <w:r w:rsidRPr="0080172D">
        <w:rPr>
          <w:rFonts w:ascii="Open Sans" w:hAnsi="Open Sans" w:cs="Open Sans"/>
          <w:sz w:val="20"/>
          <w:szCs w:val="20"/>
        </w:rPr>
        <w:t xml:space="preserve"> </w:t>
      </w:r>
      <w:r w:rsidR="00C06200">
        <w:rPr>
          <w:rFonts w:ascii="Open Sans" w:hAnsi="Open Sans" w:cs="Open Sans"/>
          <w:sz w:val="20"/>
          <w:szCs w:val="20"/>
        </w:rPr>
        <w:t xml:space="preserve">in 2019, though </w:t>
      </w:r>
      <w:r w:rsidR="00FF6933">
        <w:rPr>
          <w:rFonts w:ascii="Open Sans" w:hAnsi="Open Sans" w:cs="Open Sans"/>
          <w:sz w:val="20"/>
          <w:szCs w:val="20"/>
        </w:rPr>
        <w:t>the EITC can be much higher for families with children</w:t>
      </w:r>
      <w:r w:rsidRPr="0080172D">
        <w:rPr>
          <w:rFonts w:ascii="Open Sans" w:hAnsi="Open Sans" w:cs="Open Sans"/>
          <w:sz w:val="20"/>
          <w:szCs w:val="20"/>
        </w:rPr>
        <w:t>.</w:t>
      </w:r>
      <w:r w:rsidRPr="0080172D">
        <w:rPr>
          <w:rFonts w:ascii="Open Sans" w:hAnsi="Open Sans" w:cs="Open Sans"/>
          <w:sz w:val="20"/>
          <w:szCs w:val="20"/>
          <w:vertAlign w:val="superscript"/>
        </w:rPr>
        <w:footnoteReference w:id="35"/>
      </w:r>
      <w:r w:rsidRPr="0080172D">
        <w:rPr>
          <w:rFonts w:ascii="Open Sans" w:hAnsi="Open Sans" w:cs="Open Sans"/>
          <w:sz w:val="20"/>
          <w:szCs w:val="20"/>
        </w:rPr>
        <w:t xml:space="preserve">  This successful program is designed to “make work pay” by increasing the credit as earnings go up. </w:t>
      </w:r>
    </w:p>
    <w:p w14:paraId="4A19DF4E" w14:textId="5457910E" w:rsidR="00E76AD6" w:rsidRPr="0080172D" w:rsidRDefault="00E76AD6" w:rsidP="00D56DD5">
      <w:pPr>
        <w:spacing w:line="276" w:lineRule="auto"/>
        <w:rPr>
          <w:rFonts w:ascii="Open Sans" w:hAnsi="Open Sans" w:cs="Open Sans"/>
          <w:sz w:val="20"/>
          <w:szCs w:val="20"/>
          <w:vertAlign w:val="superscript"/>
        </w:rPr>
      </w:pPr>
      <w:r w:rsidRPr="0080172D">
        <w:rPr>
          <w:rFonts w:ascii="Open Sans" w:hAnsi="Open Sans" w:cs="Open Sans"/>
          <w:sz w:val="20"/>
          <w:szCs w:val="20"/>
        </w:rPr>
        <w:t xml:space="preserve">It is estimated that in 2018 alone, </w:t>
      </w:r>
      <w:hyperlink r:id="rId30">
        <w:r w:rsidRPr="0080172D">
          <w:rPr>
            <w:rStyle w:val="Hyperlink"/>
            <w:rFonts w:ascii="Open Sans" w:hAnsi="Open Sans" w:cs="Open Sans"/>
            <w:sz w:val="20"/>
            <w:szCs w:val="20"/>
            <w:u w:val="none"/>
          </w:rPr>
          <w:t>the EITC and CTC lifted 8.9 million people out of poverty</w:t>
        </w:r>
      </w:hyperlink>
      <w:r w:rsidRPr="0080172D">
        <w:rPr>
          <w:rFonts w:ascii="Open Sans" w:hAnsi="Open Sans" w:cs="Open Sans"/>
          <w:sz w:val="20"/>
          <w:szCs w:val="20"/>
        </w:rPr>
        <w:t>, nearly half of them children</w:t>
      </w:r>
      <w:r w:rsidR="00341F72" w:rsidRPr="0080172D">
        <w:rPr>
          <w:rFonts w:ascii="Open Sans" w:hAnsi="Open Sans" w:cs="Open Sans"/>
          <w:sz w:val="20"/>
          <w:szCs w:val="20"/>
        </w:rPr>
        <w:t xml:space="preserve"> (see figure on next page)</w:t>
      </w:r>
      <w:r w:rsidRPr="0080172D">
        <w:rPr>
          <w:rFonts w:ascii="Open Sans" w:hAnsi="Open Sans" w:cs="Open Sans"/>
          <w:sz w:val="20"/>
          <w:szCs w:val="20"/>
        </w:rPr>
        <w:t>.</w:t>
      </w:r>
      <w:r w:rsidRPr="0080172D">
        <w:rPr>
          <w:rFonts w:ascii="Open Sans" w:hAnsi="Open Sans" w:cs="Open Sans"/>
          <w:sz w:val="20"/>
          <w:szCs w:val="20"/>
          <w:vertAlign w:val="superscript"/>
        </w:rPr>
        <w:footnoteReference w:id="36"/>
      </w:r>
    </w:p>
    <w:p w14:paraId="030725D5" w14:textId="49996ADE" w:rsidR="00D56DD5" w:rsidRPr="0080172D" w:rsidRDefault="00DB2198" w:rsidP="00D56DD5">
      <w:pPr>
        <w:spacing w:line="276" w:lineRule="auto"/>
        <w:rPr>
          <w:rFonts w:ascii="Open Sans" w:hAnsi="Open Sans" w:cs="Open Sans"/>
          <w:color w:val="D50032"/>
          <w:sz w:val="32"/>
          <w:szCs w:val="32"/>
        </w:rPr>
      </w:pPr>
      <w:r w:rsidRPr="0080172D">
        <w:rPr>
          <w:rFonts w:ascii="Open Sans" w:hAnsi="Open Sans" w:cs="Open Sans"/>
          <w:noProof/>
          <w:sz w:val="20"/>
          <w:szCs w:val="20"/>
        </w:rPr>
        <w:lastRenderedPageBreak/>
        <w:drawing>
          <wp:anchor distT="0" distB="0" distL="114300" distR="114300" simplePos="0" relativeHeight="251656704" behindDoc="0" locked="0" layoutInCell="1" allowOverlap="1" wp14:anchorId="1C65655C" wp14:editId="56AD92AC">
            <wp:simplePos x="0" y="0"/>
            <wp:positionH relativeFrom="margin">
              <wp:align>left</wp:align>
            </wp:positionH>
            <wp:positionV relativeFrom="paragraph">
              <wp:posOffset>89535</wp:posOffset>
            </wp:positionV>
            <wp:extent cx="5816600" cy="4289425"/>
            <wp:effectExtent l="0" t="0" r="0" b="0"/>
            <wp:wrapSquare wrapText="bothSides"/>
            <wp:docPr id="6" name="Picture 1">
              <a:hlinkClick xmlns:a="http://schemas.openxmlformats.org/drawingml/2006/main" r:id="rId31"/>
              <a:extLst xmlns:a="http://schemas.openxmlformats.org/drawingml/2006/main">
                <a:ext uri="{FF2B5EF4-FFF2-40B4-BE49-F238E27FC236}">
                  <a16:creationId xmlns:a16="http://schemas.microsoft.com/office/drawing/2014/main" id="{7B7E7EB1-4EEC-4E6E-AD26-2BFCF2BB90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31"/>
                      <a:extLst>
                        <a:ext uri="{FF2B5EF4-FFF2-40B4-BE49-F238E27FC236}">
                          <a16:creationId xmlns:a16="http://schemas.microsoft.com/office/drawing/2014/main" id="{7B7E7EB1-4EEC-4E6E-AD26-2BFCF2BB90C6}"/>
                        </a:ext>
                      </a:extLst>
                    </pic:cNvPr>
                    <pic:cNvPicPr>
                      <a:picLocks noChangeAspect="1"/>
                    </pic:cNvPicPr>
                  </pic:nvPicPr>
                  <pic:blipFill>
                    <a:blip r:embed="rId32" cstate="email">
                      <a:extLst>
                        <a:ext uri="{28A0092B-C50C-407E-A947-70E740481C1C}">
                          <a14:useLocalDpi xmlns:a14="http://schemas.microsoft.com/office/drawing/2010/main" val="0"/>
                        </a:ext>
                      </a:extLst>
                    </a:blip>
                    <a:stretch>
                      <a:fillRect/>
                    </a:stretch>
                  </pic:blipFill>
                  <pic:spPr>
                    <a:xfrm>
                      <a:off x="0" y="0"/>
                      <a:ext cx="5823954" cy="4295394"/>
                    </a:xfrm>
                    <a:prstGeom prst="rect">
                      <a:avLst/>
                    </a:prstGeom>
                  </pic:spPr>
                </pic:pic>
              </a:graphicData>
            </a:graphic>
            <wp14:sizeRelH relativeFrom="margin">
              <wp14:pctWidth>0</wp14:pctWidth>
            </wp14:sizeRelH>
            <wp14:sizeRelV relativeFrom="margin">
              <wp14:pctHeight>0</wp14:pctHeight>
            </wp14:sizeRelV>
          </wp:anchor>
        </w:drawing>
      </w:r>
      <w:r w:rsidR="00D56DD5" w:rsidRPr="0080172D">
        <w:rPr>
          <w:rFonts w:ascii="Open Sans" w:hAnsi="Open Sans" w:cs="Open Sans"/>
          <w:color w:val="D50032"/>
          <w:sz w:val="32"/>
          <w:szCs w:val="32"/>
        </w:rPr>
        <w:t>The Earned Income Tax Credit (EITC)</w:t>
      </w:r>
    </w:p>
    <w:p w14:paraId="5C3FB0AC" w14:textId="47E7920A" w:rsidR="00D56DD5" w:rsidRPr="0080172D" w:rsidRDefault="00D56DD5" w:rsidP="00D56DD5">
      <w:pPr>
        <w:spacing w:line="276" w:lineRule="auto"/>
        <w:rPr>
          <w:rFonts w:ascii="Open Sans" w:hAnsi="Open Sans" w:cs="Open Sans"/>
          <w:sz w:val="20"/>
          <w:szCs w:val="20"/>
        </w:rPr>
      </w:pPr>
      <w:r w:rsidRPr="0080172D">
        <w:rPr>
          <w:rFonts w:ascii="Open Sans" w:hAnsi="Open Sans" w:cs="Open Sans"/>
          <w:sz w:val="20"/>
          <w:szCs w:val="20"/>
        </w:rPr>
        <w:t>The amount of a person’s EITC depends on family size and marital status.</w:t>
      </w:r>
      <w:r w:rsidRPr="0080172D">
        <w:rPr>
          <w:rFonts w:ascii="Open Sans" w:hAnsi="Open Sans" w:cs="Open Sans"/>
          <w:sz w:val="20"/>
          <w:szCs w:val="20"/>
          <w:vertAlign w:val="superscript"/>
        </w:rPr>
        <w:footnoteReference w:id="37"/>
      </w:r>
      <w:r w:rsidRPr="0080172D">
        <w:rPr>
          <w:rFonts w:ascii="Open Sans" w:hAnsi="Open Sans" w:cs="Open Sans"/>
          <w:sz w:val="20"/>
          <w:szCs w:val="20"/>
        </w:rPr>
        <w:t xml:space="preserve"> Since its establishment, the EITC has become the nation’s leading anti-poverty program for working, low-income families:</w:t>
      </w:r>
    </w:p>
    <w:p w14:paraId="12698F21" w14:textId="77777777" w:rsidR="00D56DD5" w:rsidRPr="0080172D" w:rsidRDefault="00D56DD5" w:rsidP="00D56DD5">
      <w:pPr>
        <w:numPr>
          <w:ilvl w:val="0"/>
          <w:numId w:val="2"/>
        </w:numPr>
        <w:spacing w:line="276" w:lineRule="auto"/>
        <w:rPr>
          <w:rFonts w:ascii="Open Sans" w:hAnsi="Open Sans" w:cs="Open Sans"/>
          <w:b/>
          <w:bCs/>
          <w:sz w:val="20"/>
          <w:szCs w:val="20"/>
          <w:vertAlign w:val="superscript"/>
        </w:rPr>
      </w:pPr>
      <w:r w:rsidRPr="0080172D">
        <w:rPr>
          <w:rFonts w:ascii="Open Sans" w:hAnsi="Open Sans" w:cs="Open Sans"/>
          <w:b/>
          <w:bCs/>
          <w:sz w:val="20"/>
          <w:szCs w:val="20"/>
        </w:rPr>
        <w:t>The EITC has proven to be an effective anti-poverty program.</w:t>
      </w:r>
      <w:r w:rsidRPr="0080172D">
        <w:rPr>
          <w:rFonts w:ascii="Open Sans" w:hAnsi="Open Sans" w:cs="Open Sans"/>
          <w:sz w:val="20"/>
          <w:szCs w:val="20"/>
        </w:rPr>
        <w:t xml:space="preserve"> The most recent relevant study found that a $1,000 increase in the EITC led to a 7.3 percentage point increase in employment and a 9.4 percentage point reduction in the share of families below the poverty line.</w:t>
      </w:r>
      <w:r w:rsidRPr="0080172D">
        <w:rPr>
          <w:rFonts w:ascii="Open Sans" w:hAnsi="Open Sans" w:cs="Open Sans"/>
          <w:sz w:val="20"/>
          <w:szCs w:val="20"/>
          <w:vertAlign w:val="superscript"/>
        </w:rPr>
        <w:footnoteReference w:id="38"/>
      </w:r>
      <w:r w:rsidRPr="0080172D">
        <w:rPr>
          <w:rFonts w:ascii="Open Sans" w:hAnsi="Open Sans" w:cs="Open Sans"/>
          <w:sz w:val="20"/>
          <w:szCs w:val="20"/>
        </w:rPr>
        <w:t> </w:t>
      </w:r>
    </w:p>
    <w:p w14:paraId="76A493E4" w14:textId="77777777" w:rsidR="00D56DD5" w:rsidRPr="0080172D" w:rsidRDefault="00D56DD5" w:rsidP="00D56DD5">
      <w:pPr>
        <w:numPr>
          <w:ilvl w:val="0"/>
          <w:numId w:val="1"/>
        </w:numPr>
        <w:spacing w:line="276" w:lineRule="auto"/>
        <w:rPr>
          <w:rFonts w:ascii="Open Sans" w:hAnsi="Open Sans" w:cs="Open Sans"/>
          <w:sz w:val="20"/>
          <w:szCs w:val="20"/>
        </w:rPr>
      </w:pPr>
      <w:r w:rsidRPr="0080172D">
        <w:rPr>
          <w:rFonts w:ascii="Open Sans" w:hAnsi="Open Sans" w:cs="Open Sans"/>
          <w:b/>
          <w:sz w:val="20"/>
          <w:szCs w:val="20"/>
        </w:rPr>
        <w:t>The EITC strengthens local economies.</w:t>
      </w:r>
      <w:r w:rsidRPr="0080172D">
        <w:rPr>
          <w:rFonts w:ascii="Open Sans" w:hAnsi="Open Sans" w:cs="Open Sans"/>
          <w:sz w:val="20"/>
          <w:szCs w:val="20"/>
        </w:rPr>
        <w:t xml:space="preserve"> The EITC refund checks are often spent quickly and locally, resulting in at least $1.50-$2.00 in local economic activity for every $1 claimed.</w:t>
      </w:r>
      <w:r w:rsidRPr="0080172D">
        <w:rPr>
          <w:rFonts w:ascii="Open Sans" w:hAnsi="Open Sans" w:cs="Open Sans"/>
          <w:sz w:val="20"/>
          <w:szCs w:val="20"/>
          <w:vertAlign w:val="superscript"/>
        </w:rPr>
        <w:footnoteReference w:id="39"/>
      </w:r>
    </w:p>
    <w:p w14:paraId="22CA86CB" w14:textId="77777777" w:rsidR="00D56DD5" w:rsidRPr="0080172D" w:rsidRDefault="00D56DD5" w:rsidP="00D56DD5">
      <w:pPr>
        <w:numPr>
          <w:ilvl w:val="0"/>
          <w:numId w:val="1"/>
        </w:numPr>
        <w:spacing w:line="276" w:lineRule="auto"/>
        <w:rPr>
          <w:rFonts w:ascii="Open Sans" w:hAnsi="Open Sans" w:cs="Open Sans"/>
          <w:sz w:val="20"/>
          <w:szCs w:val="20"/>
        </w:rPr>
      </w:pPr>
      <w:r w:rsidRPr="0080172D">
        <w:rPr>
          <w:rFonts w:ascii="Open Sans" w:hAnsi="Open Sans" w:cs="Open Sans"/>
          <w:noProof/>
          <w:sz w:val="20"/>
          <w:szCs w:val="20"/>
        </w:rPr>
        <w:lastRenderedPageBreak/>
        <mc:AlternateContent>
          <mc:Choice Requires="wps">
            <w:drawing>
              <wp:anchor distT="91440" distB="91440" distL="114300" distR="114300" simplePos="0" relativeHeight="251642368" behindDoc="0" locked="0" layoutInCell="0" allowOverlap="1" wp14:anchorId="3D665D97" wp14:editId="3E55E1FA">
                <wp:simplePos x="0" y="0"/>
                <wp:positionH relativeFrom="page">
                  <wp:posOffset>3856990</wp:posOffset>
                </wp:positionH>
                <wp:positionV relativeFrom="margin">
                  <wp:posOffset>31493460</wp:posOffset>
                </wp:positionV>
                <wp:extent cx="2923540" cy="7296150"/>
                <wp:effectExtent l="0" t="0" r="0" b="0"/>
                <wp:wrapSquare wrapText="bothSides"/>
                <wp:docPr id="20"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23540" cy="7296150"/>
                        </a:xfrm>
                        <a:prstGeom prst="rect">
                          <a:avLst/>
                        </a:prstGeom>
                        <a:solidFill>
                          <a:schemeClr val="accent2">
                            <a:lumMod val="20000"/>
                            <a:lumOff val="8000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tl" rotWithShape="0">
                                  <a:srgbClr val="000000">
                                    <a:alpha val="39999"/>
                                  </a:srgbClr>
                                </a:outerShdw>
                              </a:effectLst>
                            </a14:hiddenEffects>
                          </a:ext>
                        </a:extLst>
                      </wps:spPr>
                      <wps:txbx>
                        <w:txbxContent>
                          <w:p w14:paraId="430D4945" w14:textId="77777777" w:rsidR="00D56DD5" w:rsidRPr="000F5CB5" w:rsidRDefault="00D56DD5" w:rsidP="00D56DD5">
                            <w:pPr>
                              <w:rPr>
                                <w:rFonts w:ascii="Helvetica" w:hAnsi="Helvetica" w:cs="Helvetica"/>
                                <w:b/>
                                <w:sz w:val="20"/>
                                <w:szCs w:val="20"/>
                              </w:rPr>
                            </w:pPr>
                            <w:r>
                              <w:rPr>
                                <w:rFonts w:ascii="Helvetica" w:hAnsi="Helvetica" w:cs="Helvetica"/>
                                <w:b/>
                                <w:sz w:val="20"/>
                                <w:szCs w:val="20"/>
                              </w:rPr>
                              <w:t>Three Tools Used to Perpetuate Racial Discrimination in Housing</w:t>
                            </w:r>
                          </w:p>
                          <w:p w14:paraId="6FC0AA10" w14:textId="77777777" w:rsidR="00D56DD5" w:rsidRPr="00B66CF7" w:rsidRDefault="00D56DD5" w:rsidP="00D56DD5">
                            <w:pPr>
                              <w:rPr>
                                <w:rFonts w:ascii="Helvetica" w:hAnsi="Helvetica" w:cs="Helvetica"/>
                                <w:sz w:val="20"/>
                                <w:szCs w:val="20"/>
                              </w:rPr>
                            </w:pPr>
                          </w:p>
                          <w:p w14:paraId="4D492B63" w14:textId="77777777" w:rsidR="00D56DD5" w:rsidRPr="00B66CF7" w:rsidRDefault="00D56DD5" w:rsidP="00D56DD5">
                            <w:pPr>
                              <w:spacing w:after="120"/>
                              <w:rPr>
                                <w:rFonts w:ascii="Helvetica" w:hAnsi="Helvetica" w:cs="Helvetica"/>
                                <w:sz w:val="20"/>
                                <w:szCs w:val="20"/>
                              </w:rPr>
                            </w:pPr>
                            <w:r w:rsidRPr="00C67826">
                              <w:rPr>
                                <w:rFonts w:ascii="Helvetica" w:hAnsi="Helvetica" w:cs="Helvetica"/>
                                <w:b/>
                                <w:color w:val="AF1F2C"/>
                                <w:sz w:val="20"/>
                                <w:szCs w:val="20"/>
                              </w:rPr>
                              <w:t>Redlining</w:t>
                            </w:r>
                            <w:r w:rsidRPr="00C67826">
                              <w:rPr>
                                <w:rFonts w:ascii="Helvetica" w:hAnsi="Helvetica" w:cs="Helvetica"/>
                                <w:b/>
                                <w:sz w:val="20"/>
                                <w:szCs w:val="20"/>
                              </w:rPr>
                              <w:t>:</w:t>
                            </w:r>
                            <w:r w:rsidRPr="00B66CF7">
                              <w:rPr>
                                <w:rFonts w:ascii="Helvetica" w:hAnsi="Helvetica" w:cs="Helvetica"/>
                                <w:sz w:val="20"/>
                                <w:szCs w:val="20"/>
                              </w:rPr>
                              <w:t xml:space="preserve"> </w:t>
                            </w:r>
                            <w:r>
                              <w:rPr>
                                <w:rFonts w:ascii="Helvetica" w:hAnsi="Helvetica" w:cs="Helvetica"/>
                                <w:sz w:val="20"/>
                                <w:szCs w:val="20"/>
                              </w:rPr>
                              <w:t>“</w:t>
                            </w:r>
                            <w:r w:rsidRPr="00B66CF7">
                              <w:rPr>
                                <w:rFonts w:ascii="Helvetica" w:hAnsi="Helvetica" w:cs="Helvetica"/>
                                <w:sz w:val="20"/>
                                <w:szCs w:val="20"/>
                              </w:rPr>
                              <w:t>The practice of arbitrarily denying or limiting financial services to specific neighborhoods, generally because its residents are people of color or are poor. While discriminatory practices existed in the banking and insurance industries well before the 1930s, the </w:t>
                            </w:r>
                            <w:hyperlink r:id="rId33" w:tgtFrame="_blank" w:history="1">
                              <w:r w:rsidRPr="00B66CF7">
                                <w:rPr>
                                  <w:rFonts w:ascii="Helvetica" w:hAnsi="Helvetica" w:cs="Helvetica"/>
                                  <w:sz w:val="20"/>
                                  <w:szCs w:val="20"/>
                                </w:rPr>
                                <w:t>New Deal's</w:t>
                              </w:r>
                            </w:hyperlink>
                            <w:r w:rsidRPr="00B66CF7">
                              <w:rPr>
                                <w:rFonts w:ascii="Helvetica" w:hAnsi="Helvetica" w:cs="Helvetica"/>
                                <w:sz w:val="20"/>
                                <w:szCs w:val="20"/>
                              </w:rPr>
                              <w:t> Home Owners' Loan Corporation (HOLC) instituted a redlining policy by developing color-coded maps of American cities that used racial criteria to categorize lending and insurance risks. New, affluent, racially homogeneous housing areas received green lines while black and poor white neighborhoods were often circumscribed by red lines denoting their undesirability.</w:t>
                            </w:r>
                            <w:r>
                              <w:rPr>
                                <w:rFonts w:ascii="Helvetica" w:hAnsi="Helvetica" w:cs="Helvetica"/>
                                <w:sz w:val="20"/>
                                <w:szCs w:val="20"/>
                              </w:rPr>
                              <w:t>”</w:t>
                            </w:r>
                          </w:p>
                          <w:p w14:paraId="0B124D4F" w14:textId="77777777" w:rsidR="00D56DD5" w:rsidRPr="00B66CF7" w:rsidRDefault="00D56DD5" w:rsidP="00D56DD5">
                            <w:pPr>
                              <w:spacing w:after="120"/>
                              <w:rPr>
                                <w:rFonts w:ascii="Helvetica" w:hAnsi="Helvetica" w:cs="Helvetica"/>
                                <w:sz w:val="20"/>
                                <w:szCs w:val="20"/>
                              </w:rPr>
                            </w:pPr>
                            <w:r w:rsidRPr="00C67826">
                              <w:rPr>
                                <w:rFonts w:ascii="Helvetica" w:hAnsi="Helvetica" w:cs="Helvetica"/>
                                <w:b/>
                                <w:color w:val="AF1F2C"/>
                                <w:sz w:val="20"/>
                                <w:szCs w:val="20"/>
                              </w:rPr>
                              <w:t>Blockbusting</w:t>
                            </w:r>
                            <w:r w:rsidRPr="00C67826">
                              <w:rPr>
                                <w:rFonts w:ascii="Helvetica" w:hAnsi="Helvetica" w:cs="Helvetica"/>
                                <w:b/>
                                <w:sz w:val="20"/>
                                <w:szCs w:val="20"/>
                              </w:rPr>
                              <w:t>:</w:t>
                            </w:r>
                            <w:r w:rsidRPr="00B66CF7">
                              <w:rPr>
                                <w:rFonts w:ascii="Helvetica" w:hAnsi="Helvetica" w:cs="Helvetica"/>
                                <w:sz w:val="20"/>
                                <w:szCs w:val="20"/>
                              </w:rPr>
                              <w:t xml:space="preserve"> </w:t>
                            </w:r>
                            <w:r>
                              <w:rPr>
                                <w:rFonts w:ascii="Helvetica" w:hAnsi="Helvetica" w:cs="Helvetica"/>
                                <w:sz w:val="20"/>
                                <w:szCs w:val="20"/>
                              </w:rPr>
                              <w:t>“T</w:t>
                            </w:r>
                            <w:r w:rsidRPr="00B66CF7">
                              <w:rPr>
                                <w:rFonts w:ascii="Helvetica" w:hAnsi="Helvetica" w:cs="Helvetica"/>
                                <w:sz w:val="20"/>
                                <w:szCs w:val="20"/>
                              </w:rPr>
                              <w:t>he efforts of </w:t>
                            </w:r>
                            <w:hyperlink r:id="rId34" w:tgtFrame="_blank" w:history="1">
                              <w:r w:rsidRPr="00B66CF7">
                                <w:rPr>
                                  <w:rFonts w:ascii="Helvetica" w:hAnsi="Helvetica" w:cs="Helvetica"/>
                                  <w:sz w:val="20"/>
                                  <w:szCs w:val="20"/>
                                </w:rPr>
                                <w:t>real-estate</w:t>
                              </w:r>
                            </w:hyperlink>
                            <w:r w:rsidRPr="00B66CF7">
                              <w:rPr>
                                <w:rFonts w:ascii="Helvetica" w:hAnsi="Helvetica" w:cs="Helvetica"/>
                                <w:sz w:val="20"/>
                                <w:szCs w:val="20"/>
                              </w:rPr>
                              <w:t> agents and real-estate speculators to trigger the turnover of white-owned property and homes to </w:t>
                            </w:r>
                            <w:hyperlink r:id="rId35" w:tgtFrame="_blank" w:history="1">
                              <w:r w:rsidRPr="00B66CF7">
                                <w:rPr>
                                  <w:rFonts w:ascii="Helvetica" w:hAnsi="Helvetica" w:cs="Helvetica"/>
                                  <w:sz w:val="20"/>
                                  <w:szCs w:val="20"/>
                                </w:rPr>
                                <w:t>African Americans</w:t>
                              </w:r>
                            </w:hyperlink>
                            <w:r w:rsidRPr="00B66CF7">
                              <w:rPr>
                                <w:rFonts w:ascii="Helvetica" w:hAnsi="Helvetica" w:cs="Helvetica"/>
                                <w:sz w:val="20"/>
                                <w:szCs w:val="20"/>
                              </w:rPr>
                              <w:t>. Often characterized as “panic peddling,” such practices frequently accompanied the expansion of black areas of residence and the entry of African Americans into neighborhoods previously denied to them. In evidence as early as 1900, blockbusting techniques included the repeated—often incessant—urging of white homeowners in areas adjacent to or near black communities to sell before it became “too late” and their property values diminished.</w:t>
                            </w:r>
                            <w:r>
                              <w:rPr>
                                <w:rFonts w:ascii="Helvetica" w:hAnsi="Helvetica" w:cs="Helvetica"/>
                                <w:sz w:val="20"/>
                                <w:szCs w:val="20"/>
                              </w:rPr>
                              <w:t>”</w:t>
                            </w:r>
                          </w:p>
                          <w:p w14:paraId="582C8918" w14:textId="77777777" w:rsidR="00D56DD5" w:rsidRPr="00B66CF7" w:rsidRDefault="00D56DD5" w:rsidP="00D56DD5">
                            <w:pPr>
                              <w:rPr>
                                <w:rFonts w:ascii="Helvetica" w:hAnsi="Helvetica" w:cs="Helvetica"/>
                                <w:sz w:val="20"/>
                                <w:szCs w:val="20"/>
                                <w:shd w:val="clear" w:color="auto" w:fill="FFFFFF"/>
                              </w:rPr>
                            </w:pPr>
                            <w:r w:rsidRPr="00C67826">
                              <w:rPr>
                                <w:rFonts w:ascii="Helvetica" w:hAnsi="Helvetica" w:cs="Helvetica"/>
                                <w:b/>
                                <w:color w:val="AF1F2C"/>
                                <w:sz w:val="20"/>
                                <w:szCs w:val="20"/>
                              </w:rPr>
                              <w:t>Zoning Laws</w:t>
                            </w:r>
                            <w:r w:rsidRPr="00C67826">
                              <w:rPr>
                                <w:rFonts w:ascii="Helvetica" w:hAnsi="Helvetica" w:cs="Helvetica"/>
                                <w:b/>
                                <w:sz w:val="20"/>
                                <w:szCs w:val="20"/>
                              </w:rPr>
                              <w:t>:</w:t>
                            </w:r>
                            <w:r>
                              <w:rPr>
                                <w:rFonts w:ascii="Helvetica" w:hAnsi="Helvetica" w:cs="Helvetica"/>
                                <w:color w:val="AF1F2C"/>
                                <w:sz w:val="20"/>
                                <w:szCs w:val="20"/>
                              </w:rPr>
                              <w:t xml:space="preserve"> </w:t>
                            </w:r>
                            <w:r w:rsidRPr="0050242F">
                              <w:rPr>
                                <w:rFonts w:ascii="Helvetica" w:hAnsi="Helvetica" w:cs="Helvetica"/>
                                <w:sz w:val="20"/>
                                <w:szCs w:val="20"/>
                              </w:rPr>
                              <w:t>“</w:t>
                            </w:r>
                            <w:r w:rsidRPr="00B66CF7">
                              <w:rPr>
                                <w:rFonts w:ascii="Helvetica" w:hAnsi="Helvetica" w:cs="Helvetica"/>
                                <w:sz w:val="20"/>
                                <w:szCs w:val="20"/>
                              </w:rPr>
                              <w:t>Municipal or local government laws that dictate how real property can and cannot be used in certain areas. Zoning laws gave localities immense power in determining who could live where, thus the ability to discriminate.</w:t>
                            </w:r>
                            <w:r>
                              <w:rPr>
                                <w:rFonts w:ascii="Helvetica" w:hAnsi="Helvetica" w:cs="Helvetica"/>
                                <w:sz w:val="20"/>
                                <w:szCs w:val="20"/>
                              </w:rPr>
                              <w:t>”</w:t>
                            </w:r>
                            <w:r w:rsidRPr="00B66CF7">
                              <w:rPr>
                                <w:rFonts w:ascii="Helvetica" w:hAnsi="Helvetica" w:cs="Helvetica"/>
                                <w:sz w:val="20"/>
                                <w:szCs w:val="20"/>
                                <w:shd w:val="clear" w:color="auto" w:fill="FFFFFF"/>
                              </w:rPr>
                              <w:t xml:space="preserve"> </w:t>
                            </w:r>
                          </w:p>
                          <w:p w14:paraId="3F943CCE" w14:textId="77777777" w:rsidR="00D56DD5" w:rsidRDefault="00D56DD5" w:rsidP="00D56DD5">
                            <w:pPr>
                              <w:rPr>
                                <w:color w:val="FFFFFF" w:themeColor="background1"/>
                                <w:sz w:val="18"/>
                                <w:szCs w:val="18"/>
                              </w:rPr>
                            </w:pPr>
                          </w:p>
                          <w:p w14:paraId="34ED7192" w14:textId="77777777" w:rsidR="00D56DD5" w:rsidRDefault="00D56DD5" w:rsidP="00D56DD5">
                            <w:pPr>
                              <w:rPr>
                                <w:color w:val="FFFFFF" w:themeColor="background1"/>
                                <w:sz w:val="18"/>
                                <w:szCs w:val="18"/>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3D665D97" id="Rectangle 397" o:spid="_x0000_s1026" style="position:absolute;left:0;text-align:left;margin-left:303.7pt;margin-top:2479.8pt;width:230.2pt;height:574.5pt;flip:x;z-index:251642368;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" o:allowincell="f" fillcolor="#fbe4d5 [661]" stroked="f">
                <v:shadow color="black" opacity="26213f" origin="-.5,-.5" offset=".74833mm,.74833mm"/>
                <v:textbox inset="21.6pt,21.6pt,21.6pt,21.6pt">
                  <w:txbxContent>
                    <w:p w14:paraId="430D4945" w14:textId="77777777" w:rsidR="00D56DD5" w:rsidRPr="000F5CB5" w:rsidRDefault="00D56DD5" w:rsidP="00D56DD5">
                      <w:pPr>
                        <w:rPr>
                          <w:rFonts w:ascii="Helvetica" w:hAnsi="Helvetica" w:cs="Helvetica"/>
                          <w:b/>
                          <w:sz w:val="20"/>
                          <w:szCs w:val="20"/>
                        </w:rPr>
                      </w:pPr>
                      <w:r>
                        <w:rPr>
                          <w:rFonts w:ascii="Helvetica" w:hAnsi="Helvetica" w:cs="Helvetica"/>
                          <w:b/>
                          <w:sz w:val="20"/>
                          <w:szCs w:val="20"/>
                        </w:rPr>
                        <w:t>Three Tools Used to Perpetuate Racial Discrimination in Housing</w:t>
                      </w:r>
                    </w:p>
                    <w:p w14:paraId="6FC0AA10" w14:textId="77777777" w:rsidR="00D56DD5" w:rsidRPr="00B66CF7" w:rsidRDefault="00D56DD5" w:rsidP="00D56DD5">
                      <w:pPr>
                        <w:rPr>
                          <w:rFonts w:ascii="Helvetica" w:hAnsi="Helvetica" w:cs="Helvetica"/>
                          <w:sz w:val="20"/>
                          <w:szCs w:val="20"/>
                        </w:rPr>
                      </w:pPr>
                    </w:p>
                    <w:p w14:paraId="4D492B63" w14:textId="77777777" w:rsidR="00D56DD5" w:rsidRPr="00B66CF7" w:rsidRDefault="00D56DD5" w:rsidP="00D56DD5">
                      <w:pPr>
                        <w:spacing w:after="120"/>
                        <w:rPr>
                          <w:rFonts w:ascii="Helvetica" w:hAnsi="Helvetica" w:cs="Helvetica"/>
                          <w:sz w:val="20"/>
                          <w:szCs w:val="20"/>
                        </w:rPr>
                      </w:pPr>
                      <w:r w:rsidRPr="00C67826">
                        <w:rPr>
                          <w:rFonts w:ascii="Helvetica" w:hAnsi="Helvetica" w:cs="Helvetica"/>
                          <w:b/>
                          <w:color w:val="AF1F2C"/>
                          <w:sz w:val="20"/>
                          <w:szCs w:val="20"/>
                        </w:rPr>
                        <w:t>Redlining</w:t>
                      </w:r>
                      <w:r w:rsidRPr="00C67826">
                        <w:rPr>
                          <w:rFonts w:ascii="Helvetica" w:hAnsi="Helvetica" w:cs="Helvetica"/>
                          <w:b/>
                          <w:sz w:val="20"/>
                          <w:szCs w:val="20"/>
                        </w:rPr>
                        <w:t>:</w:t>
                      </w:r>
                      <w:r w:rsidRPr="00B66CF7">
                        <w:rPr>
                          <w:rFonts w:ascii="Helvetica" w:hAnsi="Helvetica" w:cs="Helvetica"/>
                          <w:sz w:val="20"/>
                          <w:szCs w:val="20"/>
                        </w:rPr>
                        <w:t xml:space="preserve"> </w:t>
                      </w:r>
                      <w:r>
                        <w:rPr>
                          <w:rFonts w:ascii="Helvetica" w:hAnsi="Helvetica" w:cs="Helvetica"/>
                          <w:sz w:val="20"/>
                          <w:szCs w:val="20"/>
                        </w:rPr>
                        <w:t>“</w:t>
                      </w:r>
                      <w:r w:rsidRPr="00B66CF7">
                        <w:rPr>
                          <w:rFonts w:ascii="Helvetica" w:hAnsi="Helvetica" w:cs="Helvetica"/>
                          <w:sz w:val="20"/>
                          <w:szCs w:val="20"/>
                        </w:rPr>
                        <w:t>The practice of arbitrarily denying or limiting financial services to specific neighborhoods, generally because its residents are people of color or are poor. While discriminatory practices existed in the banking and insurance industries well before the 1930s, the </w:t>
                      </w:r>
                      <w:hyperlink r:id="rId36" w:tgtFrame="_blank" w:history="1">
                        <w:r w:rsidRPr="00B66CF7">
                          <w:rPr>
                            <w:rFonts w:ascii="Helvetica" w:hAnsi="Helvetica" w:cs="Helvetica"/>
                            <w:sz w:val="20"/>
                            <w:szCs w:val="20"/>
                          </w:rPr>
                          <w:t>New Deal's</w:t>
                        </w:r>
                      </w:hyperlink>
                      <w:r w:rsidRPr="00B66CF7">
                        <w:rPr>
                          <w:rFonts w:ascii="Helvetica" w:hAnsi="Helvetica" w:cs="Helvetica"/>
                          <w:sz w:val="20"/>
                          <w:szCs w:val="20"/>
                        </w:rPr>
                        <w:t> Home Owners' Loan Corporation (HOLC) instituted a redlining policy by developing color-coded maps of American cities that used racial criteria to categorize lending and insurance risks. New, affluent, racially homogeneous housing areas received green lines while black and poor white neighborhoods were often circumscribed by red lines denoting their undesirability.</w:t>
                      </w:r>
                      <w:r>
                        <w:rPr>
                          <w:rFonts w:ascii="Helvetica" w:hAnsi="Helvetica" w:cs="Helvetica"/>
                          <w:sz w:val="20"/>
                          <w:szCs w:val="20"/>
                        </w:rPr>
                        <w:t>”</w:t>
                      </w:r>
                    </w:p>
                    <w:p w14:paraId="0B124D4F" w14:textId="77777777" w:rsidR="00D56DD5" w:rsidRPr="00B66CF7" w:rsidRDefault="00D56DD5" w:rsidP="00D56DD5">
                      <w:pPr>
                        <w:spacing w:after="120"/>
                        <w:rPr>
                          <w:rFonts w:ascii="Helvetica" w:hAnsi="Helvetica" w:cs="Helvetica"/>
                          <w:sz w:val="20"/>
                          <w:szCs w:val="20"/>
                        </w:rPr>
                      </w:pPr>
                      <w:r w:rsidRPr="00C67826">
                        <w:rPr>
                          <w:rFonts w:ascii="Helvetica" w:hAnsi="Helvetica" w:cs="Helvetica"/>
                          <w:b/>
                          <w:color w:val="AF1F2C"/>
                          <w:sz w:val="20"/>
                          <w:szCs w:val="20"/>
                        </w:rPr>
                        <w:t>Blockbusting</w:t>
                      </w:r>
                      <w:r w:rsidRPr="00C67826">
                        <w:rPr>
                          <w:rFonts w:ascii="Helvetica" w:hAnsi="Helvetica" w:cs="Helvetica"/>
                          <w:b/>
                          <w:sz w:val="20"/>
                          <w:szCs w:val="20"/>
                        </w:rPr>
                        <w:t>:</w:t>
                      </w:r>
                      <w:r w:rsidRPr="00B66CF7">
                        <w:rPr>
                          <w:rFonts w:ascii="Helvetica" w:hAnsi="Helvetica" w:cs="Helvetica"/>
                          <w:sz w:val="20"/>
                          <w:szCs w:val="20"/>
                        </w:rPr>
                        <w:t xml:space="preserve"> </w:t>
                      </w:r>
                      <w:r>
                        <w:rPr>
                          <w:rFonts w:ascii="Helvetica" w:hAnsi="Helvetica" w:cs="Helvetica"/>
                          <w:sz w:val="20"/>
                          <w:szCs w:val="20"/>
                        </w:rPr>
                        <w:t>“T</w:t>
                      </w:r>
                      <w:r w:rsidRPr="00B66CF7">
                        <w:rPr>
                          <w:rFonts w:ascii="Helvetica" w:hAnsi="Helvetica" w:cs="Helvetica"/>
                          <w:sz w:val="20"/>
                          <w:szCs w:val="20"/>
                        </w:rPr>
                        <w:t>he efforts of </w:t>
                      </w:r>
                      <w:hyperlink r:id="rId37" w:tgtFrame="_blank" w:history="1">
                        <w:r w:rsidRPr="00B66CF7">
                          <w:rPr>
                            <w:rFonts w:ascii="Helvetica" w:hAnsi="Helvetica" w:cs="Helvetica"/>
                            <w:sz w:val="20"/>
                            <w:szCs w:val="20"/>
                          </w:rPr>
                          <w:t>real-estate</w:t>
                        </w:r>
                      </w:hyperlink>
                      <w:r w:rsidRPr="00B66CF7">
                        <w:rPr>
                          <w:rFonts w:ascii="Helvetica" w:hAnsi="Helvetica" w:cs="Helvetica"/>
                          <w:sz w:val="20"/>
                          <w:szCs w:val="20"/>
                        </w:rPr>
                        <w:t> agents and real-estate speculators to trigger the turnover of white-owned property and homes to </w:t>
                      </w:r>
                      <w:hyperlink r:id="rId38" w:tgtFrame="_blank" w:history="1">
                        <w:r w:rsidRPr="00B66CF7">
                          <w:rPr>
                            <w:rFonts w:ascii="Helvetica" w:hAnsi="Helvetica" w:cs="Helvetica"/>
                            <w:sz w:val="20"/>
                            <w:szCs w:val="20"/>
                          </w:rPr>
                          <w:t>African Americans</w:t>
                        </w:r>
                      </w:hyperlink>
                      <w:r w:rsidRPr="00B66CF7">
                        <w:rPr>
                          <w:rFonts w:ascii="Helvetica" w:hAnsi="Helvetica" w:cs="Helvetica"/>
                          <w:sz w:val="20"/>
                          <w:szCs w:val="20"/>
                        </w:rPr>
                        <w:t>. Often characterized as “panic peddling,” such practices frequently accompanied the expansion of black areas of residence and the entry of African Americans into neighborhoods previously denied to them. In evidence as early as 1900, blockbusting techniques included the repeated—often incessant—urging of white homeowners in areas adjacent to or near black communities to sell before it became “too late” and their property values diminished.</w:t>
                      </w:r>
                      <w:r>
                        <w:rPr>
                          <w:rFonts w:ascii="Helvetica" w:hAnsi="Helvetica" w:cs="Helvetica"/>
                          <w:sz w:val="20"/>
                          <w:szCs w:val="20"/>
                        </w:rPr>
                        <w:t>”</w:t>
                      </w:r>
                    </w:p>
                    <w:p w14:paraId="582C8918" w14:textId="77777777" w:rsidR="00D56DD5" w:rsidRPr="00B66CF7" w:rsidRDefault="00D56DD5" w:rsidP="00D56DD5">
                      <w:pPr>
                        <w:rPr>
                          <w:rFonts w:ascii="Helvetica" w:hAnsi="Helvetica" w:cs="Helvetica"/>
                          <w:sz w:val="20"/>
                          <w:szCs w:val="20"/>
                          <w:shd w:val="clear" w:color="auto" w:fill="FFFFFF"/>
                        </w:rPr>
                      </w:pPr>
                      <w:r w:rsidRPr="00C67826">
                        <w:rPr>
                          <w:rFonts w:ascii="Helvetica" w:hAnsi="Helvetica" w:cs="Helvetica"/>
                          <w:b/>
                          <w:color w:val="AF1F2C"/>
                          <w:sz w:val="20"/>
                          <w:szCs w:val="20"/>
                        </w:rPr>
                        <w:t>Zoning Laws</w:t>
                      </w:r>
                      <w:r w:rsidRPr="00C67826">
                        <w:rPr>
                          <w:rFonts w:ascii="Helvetica" w:hAnsi="Helvetica" w:cs="Helvetica"/>
                          <w:b/>
                          <w:sz w:val="20"/>
                          <w:szCs w:val="20"/>
                        </w:rPr>
                        <w:t>:</w:t>
                      </w:r>
                      <w:r>
                        <w:rPr>
                          <w:rFonts w:ascii="Helvetica" w:hAnsi="Helvetica" w:cs="Helvetica"/>
                          <w:color w:val="AF1F2C"/>
                          <w:sz w:val="20"/>
                          <w:szCs w:val="20"/>
                        </w:rPr>
                        <w:t xml:space="preserve"> </w:t>
                      </w:r>
                      <w:r w:rsidRPr="0050242F">
                        <w:rPr>
                          <w:rFonts w:ascii="Helvetica" w:hAnsi="Helvetica" w:cs="Helvetica"/>
                          <w:sz w:val="20"/>
                          <w:szCs w:val="20"/>
                        </w:rPr>
                        <w:t>“</w:t>
                      </w:r>
                      <w:r w:rsidRPr="00B66CF7">
                        <w:rPr>
                          <w:rFonts w:ascii="Helvetica" w:hAnsi="Helvetica" w:cs="Helvetica"/>
                          <w:sz w:val="20"/>
                          <w:szCs w:val="20"/>
                        </w:rPr>
                        <w:t>Municipal or local government laws that dictate how real property can and cannot be used in certain areas. Zoning laws gave localities immense power in determining who could live where, thus the ability to discriminate.</w:t>
                      </w:r>
                      <w:r>
                        <w:rPr>
                          <w:rFonts w:ascii="Helvetica" w:hAnsi="Helvetica" w:cs="Helvetica"/>
                          <w:sz w:val="20"/>
                          <w:szCs w:val="20"/>
                        </w:rPr>
                        <w:t>”</w:t>
                      </w:r>
                      <w:r w:rsidRPr="00B66CF7">
                        <w:rPr>
                          <w:rFonts w:ascii="Helvetica" w:hAnsi="Helvetica" w:cs="Helvetica"/>
                          <w:sz w:val="20"/>
                          <w:szCs w:val="20"/>
                          <w:shd w:val="clear" w:color="auto" w:fill="FFFFFF"/>
                        </w:rPr>
                        <w:t xml:space="preserve"> </w:t>
                      </w:r>
                    </w:p>
                    <w:p w14:paraId="3F943CCE" w14:textId="77777777" w:rsidR="00D56DD5" w:rsidRDefault="00D56DD5" w:rsidP="00D56DD5">
                      <w:pPr>
                        <w:rPr>
                          <w:color w:val="FFFFFF" w:themeColor="background1"/>
                          <w:sz w:val="18"/>
                          <w:szCs w:val="18"/>
                        </w:rPr>
                      </w:pPr>
                    </w:p>
                    <w:p w14:paraId="34ED7192" w14:textId="77777777" w:rsidR="00D56DD5" w:rsidRDefault="00D56DD5" w:rsidP="00D56DD5">
                      <w:pPr>
                        <w:rPr>
                          <w:color w:val="FFFFFF" w:themeColor="background1"/>
                          <w:sz w:val="18"/>
                          <w:szCs w:val="18"/>
                        </w:rPr>
                      </w:pPr>
                    </w:p>
                  </w:txbxContent>
                </v:textbox>
                <w10:wrap type="square" anchorx="page" anchory="margin"/>
              </v:rect>
            </w:pict>
          </mc:Fallback>
        </mc:AlternateContent>
      </w:r>
      <w:r w:rsidRPr="0080172D">
        <w:rPr>
          <w:rFonts w:ascii="Open Sans" w:hAnsi="Open Sans" w:cs="Open Sans"/>
          <w:b/>
          <w:sz w:val="20"/>
          <w:szCs w:val="20"/>
        </w:rPr>
        <w:t>The EITC increases promotes work, especially among single mothers.</w:t>
      </w:r>
      <w:r w:rsidRPr="0080172D">
        <w:rPr>
          <w:rFonts w:ascii="Open Sans" w:hAnsi="Open Sans" w:cs="Open Sans"/>
          <w:sz w:val="20"/>
          <w:szCs w:val="20"/>
        </w:rPr>
        <w:t xml:space="preserve"> The EITC expansions of the 1990s helped more than a half a million families move from cash welfare assistance to work.</w:t>
      </w:r>
      <w:r w:rsidRPr="0080172D">
        <w:rPr>
          <w:rFonts w:ascii="Open Sans" w:hAnsi="Open Sans" w:cs="Open Sans"/>
          <w:sz w:val="20"/>
          <w:szCs w:val="20"/>
          <w:vertAlign w:val="superscript"/>
        </w:rPr>
        <w:footnoteReference w:id="40"/>
      </w:r>
    </w:p>
    <w:p w14:paraId="4EA1E20D" w14:textId="77777777" w:rsidR="00D56DD5" w:rsidRPr="0080172D" w:rsidRDefault="00D56DD5" w:rsidP="00D56DD5">
      <w:pPr>
        <w:spacing w:line="276" w:lineRule="auto"/>
        <w:rPr>
          <w:rFonts w:ascii="Open Sans" w:hAnsi="Open Sans" w:cs="Open Sans"/>
          <w:color w:val="D50032"/>
          <w:sz w:val="32"/>
          <w:szCs w:val="32"/>
        </w:rPr>
      </w:pPr>
      <w:r w:rsidRPr="0080172D">
        <w:rPr>
          <w:rFonts w:ascii="Open Sans" w:hAnsi="Open Sans" w:cs="Open Sans"/>
          <w:color w:val="D50032"/>
          <w:sz w:val="32"/>
          <w:szCs w:val="32"/>
        </w:rPr>
        <w:t>The Child Tax Credit (CTC)</w:t>
      </w:r>
    </w:p>
    <w:p w14:paraId="3369F16D" w14:textId="1DD5D432" w:rsidR="00D56DD5" w:rsidRPr="0080172D" w:rsidRDefault="00D56DD5" w:rsidP="00D56DD5">
      <w:pPr>
        <w:spacing w:line="276" w:lineRule="auto"/>
        <w:rPr>
          <w:rFonts w:ascii="Open Sans" w:hAnsi="Open Sans" w:cs="Open Sans"/>
          <w:sz w:val="20"/>
          <w:szCs w:val="20"/>
        </w:rPr>
      </w:pPr>
      <w:r w:rsidRPr="0080172D">
        <w:rPr>
          <w:rFonts w:ascii="Open Sans" w:hAnsi="Open Sans" w:cs="Open Sans"/>
          <w:sz w:val="20"/>
          <w:szCs w:val="20"/>
        </w:rPr>
        <w:t xml:space="preserve">The Child Tax Credit (CTC) is a partially refundable federal tax credit designed to help families offset some of the costs of raising children, and like the EITC, is an effective anti-poverty tool. In 2019, the non-partisan </w:t>
      </w:r>
      <w:hyperlink r:id="rId39" w:anchor="sectionPublications" w:history="1">
        <w:r w:rsidRPr="0080172D">
          <w:rPr>
            <w:rStyle w:val="Hyperlink"/>
            <w:rFonts w:ascii="Open Sans" w:hAnsi="Open Sans" w:cs="Open Sans"/>
            <w:sz w:val="20"/>
            <w:szCs w:val="20"/>
            <w:u w:val="none"/>
          </w:rPr>
          <w:t>National Academy of Sciences released a consensus plan to cut child poverty in half</w:t>
        </w:r>
      </w:hyperlink>
      <w:r w:rsidRPr="0080172D">
        <w:rPr>
          <w:rFonts w:ascii="Open Sans" w:hAnsi="Open Sans" w:cs="Open Sans"/>
          <w:sz w:val="20"/>
          <w:szCs w:val="20"/>
        </w:rPr>
        <w:t>.</w:t>
      </w:r>
      <w:r w:rsidR="0003514A" w:rsidRPr="0080172D">
        <w:rPr>
          <w:rStyle w:val="FootnoteReference"/>
          <w:rFonts w:ascii="Open Sans" w:hAnsi="Open Sans" w:cs="Open Sans"/>
          <w:sz w:val="20"/>
          <w:szCs w:val="20"/>
        </w:rPr>
        <w:footnoteReference w:id="41"/>
      </w:r>
      <w:r w:rsidR="0003514A" w:rsidRPr="0080172D">
        <w:rPr>
          <w:rFonts w:ascii="Open Sans" w:hAnsi="Open Sans" w:cs="Open Sans"/>
          <w:sz w:val="20"/>
          <w:szCs w:val="20"/>
        </w:rPr>
        <w:t xml:space="preserve"> </w:t>
      </w:r>
      <w:r w:rsidRPr="0080172D">
        <w:rPr>
          <w:rFonts w:ascii="Open Sans" w:hAnsi="Open Sans" w:cs="Open Sans"/>
          <w:sz w:val="20"/>
          <w:szCs w:val="20"/>
        </w:rPr>
        <w:t>The two policy proposals that had the biggest impact on poverty reduction were both versions of an expanded Child Tax Credit.</w:t>
      </w:r>
      <w:r w:rsidRPr="0080172D">
        <w:rPr>
          <w:rFonts w:ascii="Open Sans" w:hAnsi="Open Sans" w:cs="Open Sans"/>
          <w:sz w:val="20"/>
          <w:szCs w:val="20"/>
          <w:vertAlign w:val="superscript"/>
        </w:rPr>
        <w:footnoteReference w:id="42"/>
      </w:r>
      <w:r w:rsidRPr="0080172D">
        <w:rPr>
          <w:rFonts w:ascii="Open Sans" w:hAnsi="Open Sans" w:cs="Open Sans"/>
          <w:sz w:val="20"/>
          <w:szCs w:val="20"/>
          <w:vertAlign w:val="superscript"/>
        </w:rPr>
        <w:t xml:space="preserve"> </w:t>
      </w:r>
      <w:r w:rsidRPr="0080172D">
        <w:rPr>
          <w:rFonts w:ascii="Open Sans" w:hAnsi="Open Sans" w:cs="Open Sans"/>
          <w:sz w:val="20"/>
          <w:szCs w:val="20"/>
        </w:rPr>
        <w:t xml:space="preserve">With the expenses of raising a child continually increasing, the CTC is a critical measure in ensuring that children receive the necessary resources and home stability they deserve. </w:t>
      </w:r>
    </w:p>
    <w:p w14:paraId="025FC13C" w14:textId="73EA0AA0" w:rsidR="00D56DD5" w:rsidRPr="0080172D" w:rsidRDefault="00D56DD5" w:rsidP="00D56DD5">
      <w:pPr>
        <w:spacing w:line="276" w:lineRule="auto"/>
        <w:rPr>
          <w:rFonts w:ascii="Open Sans" w:hAnsi="Open Sans" w:cs="Open Sans"/>
          <w:sz w:val="20"/>
          <w:szCs w:val="20"/>
        </w:rPr>
      </w:pPr>
      <w:r w:rsidRPr="0080172D">
        <w:rPr>
          <w:rFonts w:ascii="Open Sans" w:hAnsi="Open Sans" w:cs="Open Sans"/>
          <w:sz w:val="20"/>
          <w:szCs w:val="20"/>
        </w:rPr>
        <w:t xml:space="preserve">Sadly, because the CTC is only partially refundable, it does not reach the families who need it most. Those earning below $2,500 per year may not claim the CTC and those who do qualify may only receive a portion of the full credit as a refund. Meanwhile, families earning up to $400,000 are able to claim the full credit on their </w:t>
      </w:r>
      <w:proofErr w:type="spellStart"/>
      <w:proofErr w:type="gramStart"/>
      <w:r w:rsidRPr="0080172D">
        <w:rPr>
          <w:rFonts w:ascii="Open Sans" w:hAnsi="Open Sans" w:cs="Open Sans"/>
          <w:sz w:val="20"/>
          <w:szCs w:val="20"/>
        </w:rPr>
        <w:t>taxes.</w:t>
      </w:r>
      <w:r w:rsidR="007347B0" w:rsidRPr="00526180">
        <w:rPr>
          <w:rFonts w:ascii="Open Sans" w:hAnsi="Open Sans" w:cs="Open Sans"/>
          <w:sz w:val="16"/>
          <w:szCs w:val="16"/>
        </w:rPr>
        <w:t>Chuck</w:t>
      </w:r>
      <w:proofErr w:type="spellEnd"/>
      <w:proofErr w:type="gramEnd"/>
      <w:r w:rsidR="007347B0" w:rsidRPr="00526180">
        <w:rPr>
          <w:rFonts w:ascii="Open Sans" w:hAnsi="Open Sans" w:cs="Open Sans"/>
          <w:sz w:val="16"/>
          <w:szCs w:val="16"/>
        </w:rPr>
        <w:t xml:space="preserve"> Marr, </w:t>
      </w:r>
      <w:proofErr w:type="spellStart"/>
      <w:r w:rsidR="007347B0" w:rsidRPr="00526180">
        <w:rPr>
          <w:rFonts w:ascii="Open Sans" w:hAnsi="Open Sans" w:cs="Open Sans"/>
          <w:sz w:val="16"/>
          <w:szCs w:val="16"/>
        </w:rPr>
        <w:t>Chye</w:t>
      </w:r>
      <w:proofErr w:type="spellEnd"/>
      <w:r w:rsidR="007347B0" w:rsidRPr="00526180">
        <w:rPr>
          <w:rFonts w:ascii="Open Sans" w:hAnsi="Open Sans" w:cs="Open Sans"/>
          <w:sz w:val="16"/>
          <w:szCs w:val="16"/>
        </w:rPr>
        <w:t xml:space="preserve">-Ching Huang, </w:t>
      </w:r>
      <w:proofErr w:type="spellStart"/>
      <w:r w:rsidR="007347B0" w:rsidRPr="00526180">
        <w:rPr>
          <w:rFonts w:ascii="Open Sans" w:hAnsi="Open Sans" w:cs="Open Sans"/>
          <w:sz w:val="16"/>
          <w:szCs w:val="16"/>
        </w:rPr>
        <w:t>Arloc</w:t>
      </w:r>
      <w:proofErr w:type="spellEnd"/>
      <w:r w:rsidR="007347B0" w:rsidRPr="00526180">
        <w:rPr>
          <w:rFonts w:ascii="Open Sans" w:hAnsi="Open Sans" w:cs="Open Sans"/>
          <w:sz w:val="16"/>
          <w:szCs w:val="16"/>
        </w:rPr>
        <w:t xml:space="preserve"> Sherman, and Brandon </w:t>
      </w:r>
      <w:proofErr w:type="spellStart"/>
      <w:r w:rsidR="007347B0" w:rsidRPr="00526180">
        <w:rPr>
          <w:rFonts w:ascii="Open Sans" w:hAnsi="Open Sans" w:cs="Open Sans"/>
          <w:sz w:val="16"/>
          <w:szCs w:val="16"/>
        </w:rPr>
        <w:t>Debot</w:t>
      </w:r>
      <w:proofErr w:type="spellEnd"/>
      <w:r w:rsidR="007347B0" w:rsidRPr="007347B0">
        <w:rPr>
          <w:rFonts w:ascii="Open Sans" w:hAnsi="Open Sans" w:cs="Open Sans"/>
          <w:sz w:val="16"/>
          <w:szCs w:val="16"/>
        </w:rPr>
        <w:t xml:space="preserve"> </w:t>
      </w:r>
      <w:r w:rsidR="007347B0" w:rsidRPr="00526180">
        <w:rPr>
          <w:rFonts w:ascii="Open Sans" w:hAnsi="Open Sans" w:cs="Open Sans"/>
          <w:sz w:val="16"/>
          <w:szCs w:val="16"/>
        </w:rPr>
        <w:t>Center on Budget and Policy Priorities</w:t>
      </w:r>
    </w:p>
    <w:p w14:paraId="3A48A9D1" w14:textId="77777777" w:rsidR="00D56DD5" w:rsidRPr="0080172D" w:rsidRDefault="00D56DD5" w:rsidP="0080172D">
      <w:pPr>
        <w:pStyle w:val="Heading2"/>
        <w:rPr>
          <w:rFonts w:ascii="Open Sans" w:hAnsi="Open Sans" w:cs="Open Sans"/>
          <w:color w:val="C00000"/>
          <w:sz w:val="32"/>
          <w:szCs w:val="32"/>
        </w:rPr>
      </w:pPr>
      <w:bookmarkStart w:id="11" w:name="_Toc42319536"/>
      <w:r w:rsidRPr="0080172D">
        <w:rPr>
          <w:rFonts w:ascii="Open Sans" w:hAnsi="Open Sans" w:cs="Open Sans"/>
          <w:color w:val="C00000"/>
          <w:sz w:val="32"/>
          <w:szCs w:val="32"/>
        </w:rPr>
        <w:t>Expanding the EITC and CTC in This Economic Crisis</w:t>
      </w:r>
      <w:bookmarkEnd w:id="11"/>
    </w:p>
    <w:p w14:paraId="10A78DC5" w14:textId="77777777" w:rsidR="00D56DD5" w:rsidRPr="0080172D" w:rsidRDefault="00D56DD5" w:rsidP="00D56DD5">
      <w:pPr>
        <w:spacing w:line="276" w:lineRule="auto"/>
        <w:rPr>
          <w:rFonts w:ascii="Open Sans" w:hAnsi="Open Sans" w:cs="Open Sans"/>
          <w:sz w:val="20"/>
          <w:szCs w:val="20"/>
        </w:rPr>
      </w:pPr>
      <w:r w:rsidRPr="0080172D">
        <w:rPr>
          <w:rFonts w:ascii="Open Sans" w:hAnsi="Open Sans" w:cs="Open Sans"/>
          <w:sz w:val="20"/>
          <w:szCs w:val="20"/>
        </w:rPr>
        <w:t>For many low-income workers, refundable tax credits offer an opportunity to boost emergency savings, purchase necessary items for their household or children, make large and necessary purchases (such as a car for work), or pay down outstanding debts.</w:t>
      </w:r>
      <w:r w:rsidRPr="0080172D">
        <w:rPr>
          <w:rFonts w:ascii="Open Sans" w:hAnsi="Open Sans" w:cs="Open Sans"/>
          <w:sz w:val="20"/>
          <w:szCs w:val="20"/>
          <w:vertAlign w:val="superscript"/>
        </w:rPr>
        <w:footnoteReference w:id="43"/>
      </w:r>
      <w:r w:rsidRPr="0080172D">
        <w:rPr>
          <w:rFonts w:ascii="Open Sans" w:hAnsi="Open Sans" w:cs="Open Sans"/>
          <w:sz w:val="20"/>
          <w:szCs w:val="20"/>
        </w:rPr>
        <w:t xml:space="preserve"> The Earned Income Tax Credit (EITC) and low-income portion of the Child Tax Credit (CTC) are particularly beneficial policies for communities of color because these communities experience higher rates of poverty.</w:t>
      </w:r>
    </w:p>
    <w:p w14:paraId="06F6860D" w14:textId="77777777" w:rsidR="00D56DD5" w:rsidRPr="0080172D" w:rsidRDefault="00D56DD5" w:rsidP="00D56DD5">
      <w:pPr>
        <w:spacing w:line="276" w:lineRule="auto"/>
        <w:rPr>
          <w:rFonts w:ascii="Open Sans" w:hAnsi="Open Sans" w:cs="Open Sans"/>
          <w:sz w:val="20"/>
          <w:szCs w:val="20"/>
        </w:rPr>
      </w:pPr>
      <w:r w:rsidRPr="0080172D">
        <w:rPr>
          <w:rFonts w:ascii="Open Sans" w:hAnsi="Open Sans" w:cs="Open Sans"/>
          <w:sz w:val="20"/>
          <w:szCs w:val="20"/>
        </w:rPr>
        <w:t>While tax policy often rewards wealth and exacerbates racial wealth inequality, we can</w:t>
      </w:r>
      <w:r w:rsidRPr="0080172D">
        <w:rPr>
          <w:rFonts w:ascii="Open Sans" w:hAnsi="Open Sans" w:cs="Open Sans"/>
          <w:bCs/>
          <w:sz w:val="20"/>
          <w:szCs w:val="20"/>
        </w:rPr>
        <w:t xml:space="preserve"> fix our tax laws to give working people and children a fair shot to get ahead. </w:t>
      </w:r>
      <w:r w:rsidRPr="0080172D">
        <w:rPr>
          <w:rFonts w:ascii="Open Sans" w:hAnsi="Open Sans" w:cs="Open Sans"/>
          <w:sz w:val="20"/>
          <w:szCs w:val="20"/>
        </w:rPr>
        <w:t xml:space="preserve">Many of America’s low-income working families are struggling to stay afloat as costs have risen faster than their pay over several decades, and millions have now lost jobs or income due to COVID-19. The EITC and CTC are proven policy successes that help working people with low-wage jobs keep their heads above water, reduce poverty, and improve child well-being. But they can do considerably more. </w:t>
      </w:r>
    </w:p>
    <w:p w14:paraId="3A815F23" w14:textId="6AE5BBF7" w:rsidR="00D56DD5" w:rsidRPr="0080172D" w:rsidRDefault="00D56DD5" w:rsidP="00D56DD5">
      <w:pPr>
        <w:spacing w:line="276" w:lineRule="auto"/>
        <w:rPr>
          <w:rFonts w:ascii="Open Sans" w:hAnsi="Open Sans" w:cs="Open Sans"/>
          <w:sz w:val="20"/>
          <w:szCs w:val="20"/>
        </w:rPr>
      </w:pPr>
      <w:r w:rsidRPr="0080172D">
        <w:rPr>
          <w:rFonts w:ascii="Open Sans" w:hAnsi="Open Sans" w:cs="Open Sans"/>
          <w:sz w:val="20"/>
          <w:szCs w:val="20"/>
        </w:rPr>
        <w:lastRenderedPageBreak/>
        <w:t xml:space="preserve">There is a lot of attention right now on frontline workers during the pandemic -- grocery store staff, truck drivers, home health aides, etc. </w:t>
      </w:r>
      <w:hyperlink r:id="rId40" w:history="1">
        <w:r w:rsidRPr="0080172D">
          <w:rPr>
            <w:rStyle w:val="Hyperlink"/>
            <w:rFonts w:ascii="Open Sans" w:hAnsi="Open Sans" w:cs="Open Sans"/>
            <w:sz w:val="20"/>
            <w:szCs w:val="20"/>
            <w:u w:val="none"/>
          </w:rPr>
          <w:t>5.8 million low-wage workers</w:t>
        </w:r>
      </w:hyperlink>
      <w:r w:rsidRPr="0080172D">
        <w:rPr>
          <w:rFonts w:ascii="Open Sans" w:hAnsi="Open Sans" w:cs="Open Sans"/>
          <w:sz w:val="20"/>
          <w:szCs w:val="20"/>
        </w:rPr>
        <w:t>, many essential employees, are taxed into poverty or locked out of claiming the EITC altogether since they are under 25, over 64, or don’t claim children.</w:t>
      </w:r>
      <w:r w:rsidR="00511F21" w:rsidRPr="0080172D">
        <w:rPr>
          <w:rStyle w:val="FootnoteReference"/>
          <w:rFonts w:ascii="Open Sans" w:hAnsi="Open Sans" w:cs="Open Sans"/>
          <w:sz w:val="20"/>
          <w:szCs w:val="20"/>
        </w:rPr>
        <w:footnoteReference w:id="44"/>
      </w:r>
    </w:p>
    <w:p w14:paraId="102BA752" w14:textId="5D128D8B" w:rsidR="00D56DD5" w:rsidRPr="0080172D" w:rsidRDefault="00D56DD5" w:rsidP="00D56DD5">
      <w:pPr>
        <w:spacing w:line="276" w:lineRule="auto"/>
        <w:rPr>
          <w:rFonts w:ascii="Open Sans" w:hAnsi="Open Sans" w:cs="Open Sans"/>
          <w:sz w:val="20"/>
          <w:szCs w:val="20"/>
        </w:rPr>
      </w:pPr>
      <w:r w:rsidRPr="0080172D">
        <w:rPr>
          <w:rFonts w:ascii="Open Sans" w:hAnsi="Open Sans" w:cs="Open Sans"/>
          <w:sz w:val="20"/>
          <w:szCs w:val="20"/>
        </w:rPr>
        <w:t xml:space="preserve">In addition, with millions of children home away from access to school meals and social supports, it is unconscionable that 27 million children in the lowest-income families are not reached by the full CTC. If the CTC were fully available to these families, it would </w:t>
      </w:r>
      <w:hyperlink r:id="rId41" w:history="1">
        <w:r w:rsidRPr="0080172D">
          <w:rPr>
            <w:rStyle w:val="Hyperlink"/>
            <w:rFonts w:ascii="Open Sans" w:hAnsi="Open Sans" w:cs="Open Sans"/>
            <w:sz w:val="20"/>
            <w:szCs w:val="20"/>
            <w:u w:val="none"/>
          </w:rPr>
          <w:t>lift an additional 3 million people — including 2 million children — above the poverty line</w:t>
        </w:r>
      </w:hyperlink>
      <w:r w:rsidRPr="0080172D">
        <w:rPr>
          <w:rFonts w:ascii="Open Sans" w:hAnsi="Open Sans" w:cs="Open Sans"/>
          <w:sz w:val="20"/>
          <w:szCs w:val="20"/>
        </w:rPr>
        <w:t>.</w:t>
      </w:r>
      <w:r w:rsidR="006162FD" w:rsidRPr="0080172D">
        <w:rPr>
          <w:rStyle w:val="FootnoteReference"/>
          <w:rFonts w:ascii="Open Sans" w:hAnsi="Open Sans" w:cs="Open Sans"/>
          <w:sz w:val="20"/>
          <w:szCs w:val="20"/>
        </w:rPr>
        <w:footnoteReference w:id="45"/>
      </w:r>
      <w:r w:rsidRPr="0080172D">
        <w:rPr>
          <w:rFonts w:ascii="Open Sans" w:hAnsi="Open Sans" w:cs="Open Sans"/>
          <w:sz w:val="20"/>
          <w:szCs w:val="20"/>
        </w:rPr>
        <w:t xml:space="preserve"> Expanding the CTC and EITC would help low- and moderate-income working families of all races and benefit </w:t>
      </w:r>
      <w:hyperlink r:id="rId42" w:history="1">
        <w:r w:rsidRPr="0080172D">
          <w:rPr>
            <w:rStyle w:val="Hyperlink"/>
            <w:rFonts w:ascii="Open Sans" w:hAnsi="Open Sans" w:cs="Open Sans"/>
            <w:sz w:val="20"/>
            <w:szCs w:val="20"/>
            <w:u w:val="none"/>
          </w:rPr>
          <w:t>17 million Black and Latino households</w:t>
        </w:r>
      </w:hyperlink>
      <w:r w:rsidRPr="0080172D">
        <w:rPr>
          <w:rFonts w:ascii="Open Sans" w:hAnsi="Open Sans" w:cs="Open Sans"/>
          <w:sz w:val="20"/>
          <w:szCs w:val="20"/>
        </w:rPr>
        <w:t>.</w:t>
      </w:r>
      <w:r w:rsidR="00551878" w:rsidRPr="0080172D">
        <w:rPr>
          <w:rStyle w:val="FootnoteReference"/>
          <w:rFonts w:ascii="Open Sans" w:hAnsi="Open Sans" w:cs="Open Sans"/>
          <w:sz w:val="20"/>
          <w:szCs w:val="20"/>
        </w:rPr>
        <w:footnoteReference w:id="46"/>
      </w:r>
    </w:p>
    <w:p w14:paraId="75BEB3F3" w14:textId="4ACCE83B" w:rsidR="00D56DD5" w:rsidRPr="0080172D" w:rsidRDefault="00D56DD5" w:rsidP="00D56DD5">
      <w:pPr>
        <w:spacing w:line="276" w:lineRule="auto"/>
        <w:rPr>
          <w:rFonts w:ascii="Open Sans" w:hAnsi="Open Sans" w:cs="Open Sans"/>
          <w:sz w:val="20"/>
          <w:szCs w:val="20"/>
        </w:rPr>
      </w:pPr>
      <w:r w:rsidRPr="0080172D">
        <w:rPr>
          <w:rFonts w:ascii="Open Sans" w:hAnsi="Open Sans" w:cs="Open Sans"/>
          <w:sz w:val="20"/>
          <w:szCs w:val="20"/>
        </w:rPr>
        <w:t>In the short-term, it is critical that Congress support crucial investments that immediately help low-income Americans get through the current economic crisis such as housing assistance and SNAP</w:t>
      </w:r>
      <w:r w:rsidR="007A47B3" w:rsidRPr="0080172D">
        <w:rPr>
          <w:rFonts w:ascii="Open Sans" w:hAnsi="Open Sans" w:cs="Open Sans"/>
          <w:sz w:val="20"/>
          <w:szCs w:val="20"/>
        </w:rPr>
        <w:t xml:space="preserve"> (as noted above)</w:t>
      </w:r>
      <w:r w:rsidRPr="0080172D">
        <w:rPr>
          <w:rFonts w:ascii="Open Sans" w:hAnsi="Open Sans" w:cs="Open Sans"/>
          <w:sz w:val="20"/>
          <w:szCs w:val="20"/>
        </w:rPr>
        <w:t>. Unfortunately, the crisis will continue into next year –</w:t>
      </w:r>
      <w:hyperlink r:id="rId43" w:history="1">
        <w:r w:rsidRPr="0080172D">
          <w:rPr>
            <w:rStyle w:val="Hyperlink"/>
            <w:rFonts w:ascii="Open Sans" w:hAnsi="Open Sans" w:cs="Open Sans"/>
            <w:sz w:val="20"/>
            <w:szCs w:val="20"/>
            <w:u w:val="none"/>
          </w:rPr>
          <w:t>the Congressional Budget Office (CBO) forecasts that unemployment will average 10 percent in 2021</w:t>
        </w:r>
      </w:hyperlink>
      <w:r w:rsidRPr="0080172D">
        <w:rPr>
          <w:rFonts w:ascii="Open Sans" w:hAnsi="Open Sans" w:cs="Open Sans"/>
          <w:sz w:val="20"/>
          <w:szCs w:val="20"/>
        </w:rPr>
        <w:t>.</w:t>
      </w:r>
      <w:r w:rsidR="00001FAF" w:rsidRPr="0080172D">
        <w:rPr>
          <w:rStyle w:val="FootnoteReference"/>
          <w:rFonts w:ascii="Open Sans" w:hAnsi="Open Sans" w:cs="Open Sans"/>
          <w:sz w:val="20"/>
          <w:szCs w:val="20"/>
        </w:rPr>
        <w:footnoteReference w:id="47"/>
      </w:r>
      <w:r w:rsidRPr="0080172D">
        <w:rPr>
          <w:rFonts w:ascii="Open Sans" w:hAnsi="Open Sans" w:cs="Open Sans"/>
          <w:sz w:val="20"/>
          <w:szCs w:val="20"/>
        </w:rPr>
        <w:t xml:space="preserve"> Temporary expansions now of the EITC and CTC could help low-income workers and families raising children as the economic crisis continues – servicing as a “back to work” bonus in winter 2021. </w:t>
      </w:r>
    </w:p>
    <w:p w14:paraId="300A7634" w14:textId="77777777" w:rsidR="00D56DD5" w:rsidRPr="0080172D" w:rsidRDefault="00D56DD5" w:rsidP="00D56DD5">
      <w:pPr>
        <w:spacing w:line="276" w:lineRule="auto"/>
        <w:rPr>
          <w:rFonts w:ascii="Open Sans" w:hAnsi="Open Sans" w:cs="Open Sans"/>
          <w:sz w:val="20"/>
          <w:szCs w:val="20"/>
        </w:rPr>
      </w:pPr>
      <w:r w:rsidRPr="0080172D">
        <w:rPr>
          <w:rFonts w:ascii="Open Sans" w:hAnsi="Open Sans" w:cs="Open Sans"/>
          <w:sz w:val="20"/>
          <w:szCs w:val="20"/>
        </w:rPr>
        <w:t xml:space="preserve">Ultimately, RESULTS supports broader expansions of the EITC and CTC and we hope to build support for permanent improvements for a new Congress that — in combination with legislation to raise the minimum wage, expand access to affordable housing and homeownership, increase funding for child care, provide paid family and medical leave, and more — would help address income inequality that has affected Black, Latinx, and other working-class households. </w:t>
      </w:r>
    </w:p>
    <w:p w14:paraId="47EFBAE4" w14:textId="77777777" w:rsidR="00D56DD5" w:rsidRPr="0080172D" w:rsidRDefault="00D56DD5" w:rsidP="00D56DD5">
      <w:pPr>
        <w:spacing w:line="276" w:lineRule="auto"/>
        <w:rPr>
          <w:rFonts w:ascii="Open Sans" w:hAnsi="Open Sans" w:cs="Open Sans"/>
          <w:sz w:val="20"/>
          <w:szCs w:val="20"/>
        </w:rPr>
      </w:pPr>
    </w:p>
    <w:sectPr w:rsidR="00D56DD5" w:rsidRPr="0080172D">
      <w:headerReference w:type="default" r:id="rId4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53EF0C1" w16cex:dateUtc="2020-05-29T13: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019D3" w14:textId="77777777" w:rsidR="00313B28" w:rsidRDefault="00313B28" w:rsidP="00D56DD5">
      <w:pPr>
        <w:spacing w:after="0" w:line="240" w:lineRule="auto"/>
      </w:pPr>
      <w:r>
        <w:separator/>
      </w:r>
    </w:p>
  </w:endnote>
  <w:endnote w:type="continuationSeparator" w:id="0">
    <w:p w14:paraId="6D33FD2F" w14:textId="77777777" w:rsidR="00313B28" w:rsidRDefault="00313B28" w:rsidP="00D56DD5">
      <w:pPr>
        <w:spacing w:after="0" w:line="240" w:lineRule="auto"/>
      </w:pPr>
      <w:r>
        <w:continuationSeparator/>
      </w:r>
    </w:p>
  </w:endnote>
  <w:endnote w:type="continuationNotice" w:id="1">
    <w:p w14:paraId="489A1338" w14:textId="77777777" w:rsidR="00313B28" w:rsidRDefault="00313B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B9DAA" w14:textId="77777777" w:rsidR="00313B28" w:rsidRDefault="00313B28" w:rsidP="00D56DD5">
      <w:pPr>
        <w:spacing w:after="0" w:line="240" w:lineRule="auto"/>
      </w:pPr>
      <w:r>
        <w:separator/>
      </w:r>
    </w:p>
  </w:footnote>
  <w:footnote w:type="continuationSeparator" w:id="0">
    <w:p w14:paraId="67CFE9E7" w14:textId="77777777" w:rsidR="00313B28" w:rsidRDefault="00313B28" w:rsidP="00D56DD5">
      <w:pPr>
        <w:spacing w:after="0" w:line="240" w:lineRule="auto"/>
      </w:pPr>
      <w:r>
        <w:continuationSeparator/>
      </w:r>
    </w:p>
  </w:footnote>
  <w:footnote w:type="continuationNotice" w:id="1">
    <w:p w14:paraId="61E75288" w14:textId="77777777" w:rsidR="00313B28" w:rsidRDefault="00313B28">
      <w:pPr>
        <w:spacing w:after="0" w:line="240" w:lineRule="auto"/>
      </w:pPr>
    </w:p>
  </w:footnote>
  <w:footnote w:id="2">
    <w:p w14:paraId="1AA92A64" w14:textId="131788D7" w:rsidR="00CE42FD" w:rsidRPr="00656E15" w:rsidRDefault="00CE42FD" w:rsidP="00CE42FD">
      <w:pPr>
        <w:pStyle w:val="FootnoteText"/>
        <w:rPr>
          <w:rFonts w:ascii="Open Sans" w:hAnsi="Open Sans" w:cs="Open Sans"/>
          <w:sz w:val="16"/>
          <w:szCs w:val="16"/>
        </w:rPr>
      </w:pPr>
      <w:r w:rsidRPr="00656E15">
        <w:rPr>
          <w:rStyle w:val="FootnoteReference"/>
          <w:rFonts w:ascii="Open Sans" w:hAnsi="Open Sans" w:cs="Open Sans"/>
          <w:sz w:val="16"/>
          <w:szCs w:val="16"/>
        </w:rPr>
        <w:footnoteRef/>
      </w:r>
      <w:r w:rsidRPr="00656E15">
        <w:rPr>
          <w:rFonts w:ascii="Open Sans" w:hAnsi="Open Sans" w:cs="Open Sans"/>
          <w:sz w:val="16"/>
          <w:szCs w:val="16"/>
        </w:rPr>
        <w:t xml:space="preserve"> </w:t>
      </w:r>
      <w:r>
        <w:rPr>
          <w:rFonts w:ascii="Open Sans" w:hAnsi="Open Sans" w:cs="Open Sans"/>
          <w:sz w:val="16"/>
          <w:szCs w:val="16"/>
        </w:rPr>
        <w:t>U.S. Census Bureau</w:t>
      </w:r>
      <w:r w:rsidRPr="00656E15">
        <w:rPr>
          <w:rFonts w:ascii="Open Sans" w:hAnsi="Open Sans" w:cs="Open Sans"/>
          <w:sz w:val="16"/>
          <w:szCs w:val="16"/>
        </w:rPr>
        <w:t>. “</w:t>
      </w:r>
      <w:r w:rsidR="006F2FAE" w:rsidRPr="006F2FAE">
        <w:rPr>
          <w:rFonts w:ascii="Open Sans" w:hAnsi="Open Sans" w:cs="Open Sans"/>
          <w:sz w:val="16"/>
          <w:szCs w:val="16"/>
        </w:rPr>
        <w:t>Income and Poverty in the United States: 2018</w:t>
      </w:r>
      <w:r w:rsidR="006F2FAE">
        <w:rPr>
          <w:rFonts w:ascii="Open Sans" w:hAnsi="Open Sans" w:cs="Open Sans"/>
          <w:sz w:val="16"/>
          <w:szCs w:val="16"/>
        </w:rPr>
        <w:t>”.</w:t>
      </w:r>
      <w:r w:rsidRPr="00656E15">
        <w:rPr>
          <w:rFonts w:ascii="Open Sans" w:hAnsi="Open Sans" w:cs="Open Sans"/>
          <w:sz w:val="16"/>
          <w:szCs w:val="16"/>
        </w:rPr>
        <w:t xml:space="preserve"> Available at </w:t>
      </w:r>
      <w:hyperlink r:id="rId1" w:history="1">
        <w:r w:rsidR="009D33F5">
          <w:rPr>
            <w:rStyle w:val="Hyperlink"/>
          </w:rPr>
          <w:t>https://www.census.gov/library/publications/2019/demo/p60-266.html</w:t>
        </w:r>
      </w:hyperlink>
    </w:p>
  </w:footnote>
  <w:footnote w:id="3">
    <w:p w14:paraId="05B5999F" w14:textId="4D448FDA" w:rsidR="009C4991" w:rsidRPr="00656E15" w:rsidRDefault="009C4991" w:rsidP="009C4991">
      <w:pPr>
        <w:pStyle w:val="FootnoteText"/>
        <w:rPr>
          <w:rFonts w:ascii="Open Sans" w:hAnsi="Open Sans" w:cs="Open Sans"/>
          <w:sz w:val="16"/>
          <w:szCs w:val="16"/>
        </w:rPr>
      </w:pPr>
      <w:r w:rsidRPr="00656E15">
        <w:rPr>
          <w:rStyle w:val="FootnoteReference"/>
          <w:rFonts w:ascii="Open Sans" w:hAnsi="Open Sans" w:cs="Open Sans"/>
          <w:sz w:val="16"/>
          <w:szCs w:val="16"/>
        </w:rPr>
        <w:footnoteRef/>
      </w:r>
      <w:r w:rsidRPr="00656E15">
        <w:rPr>
          <w:rFonts w:ascii="Open Sans" w:hAnsi="Open Sans" w:cs="Open Sans"/>
          <w:sz w:val="16"/>
          <w:szCs w:val="16"/>
        </w:rPr>
        <w:t xml:space="preserve"> </w:t>
      </w:r>
      <w:r w:rsidR="009871D0" w:rsidRPr="009871D0">
        <w:rPr>
          <w:rFonts w:ascii="Open Sans" w:hAnsi="Open Sans" w:cs="Open Sans"/>
          <w:sz w:val="16"/>
          <w:szCs w:val="16"/>
        </w:rPr>
        <w:t>U.S. Bureau of Labor Statistics</w:t>
      </w:r>
      <w:r w:rsidR="009871D0">
        <w:rPr>
          <w:rFonts w:ascii="Open Sans" w:hAnsi="Open Sans" w:cs="Open Sans"/>
          <w:sz w:val="16"/>
          <w:szCs w:val="16"/>
        </w:rPr>
        <w:t>.</w:t>
      </w:r>
      <w:r w:rsidR="009871D0" w:rsidRPr="009871D0">
        <w:rPr>
          <w:rFonts w:ascii="Open Sans" w:hAnsi="Open Sans" w:cs="Open Sans"/>
          <w:sz w:val="16"/>
          <w:szCs w:val="16"/>
        </w:rPr>
        <w:t xml:space="preserve"> </w:t>
      </w:r>
      <w:r w:rsidR="009871D0">
        <w:rPr>
          <w:rFonts w:ascii="Open Sans" w:hAnsi="Open Sans" w:cs="Open Sans"/>
          <w:sz w:val="16"/>
          <w:szCs w:val="16"/>
        </w:rPr>
        <w:t xml:space="preserve">“June 5 </w:t>
      </w:r>
      <w:r w:rsidR="009871D0" w:rsidRPr="009871D0">
        <w:rPr>
          <w:rFonts w:ascii="Open Sans" w:hAnsi="Open Sans" w:cs="Open Sans"/>
          <w:sz w:val="16"/>
          <w:szCs w:val="16"/>
        </w:rPr>
        <w:t>Employment Situation Summary</w:t>
      </w:r>
      <w:r w:rsidR="009871D0">
        <w:rPr>
          <w:rFonts w:ascii="Open Sans" w:hAnsi="Open Sans" w:cs="Open Sans"/>
          <w:sz w:val="16"/>
          <w:szCs w:val="16"/>
        </w:rPr>
        <w:t>.”</w:t>
      </w:r>
      <w:r w:rsidR="009871D0" w:rsidRPr="009871D0">
        <w:rPr>
          <w:rFonts w:ascii="Open Sans" w:hAnsi="Open Sans" w:cs="Open Sans"/>
          <w:sz w:val="16"/>
          <w:szCs w:val="16"/>
        </w:rPr>
        <w:t xml:space="preserve"> </w:t>
      </w:r>
      <w:r w:rsidRPr="00A21A37">
        <w:rPr>
          <w:rFonts w:ascii="Open Sans" w:hAnsi="Open Sans" w:cs="Open Sans"/>
          <w:sz w:val="16"/>
          <w:szCs w:val="16"/>
        </w:rPr>
        <w:t xml:space="preserve">Available at </w:t>
      </w:r>
      <w:hyperlink r:id="rId2" w:history="1">
        <w:r w:rsidR="009871D0" w:rsidRPr="00AB3E57">
          <w:rPr>
            <w:rStyle w:val="Hyperlink"/>
            <w:rFonts w:ascii="Open Sans" w:hAnsi="Open Sans" w:cs="Open Sans"/>
            <w:sz w:val="16"/>
            <w:szCs w:val="16"/>
          </w:rPr>
          <w:t>https://www.bls.gov/news.release/empsit.nr0.htm</w:t>
        </w:r>
      </w:hyperlink>
      <w:r w:rsidR="009871D0">
        <w:rPr>
          <w:rFonts w:ascii="Open Sans" w:hAnsi="Open Sans" w:cs="Open Sans"/>
          <w:sz w:val="16"/>
          <w:szCs w:val="16"/>
        </w:rPr>
        <w:t xml:space="preserve">. </w:t>
      </w:r>
    </w:p>
  </w:footnote>
  <w:footnote w:id="4">
    <w:p w14:paraId="17C4A8C7" w14:textId="4D406611" w:rsidR="00827316" w:rsidRPr="00A21A37" w:rsidRDefault="00827316" w:rsidP="00827316">
      <w:pPr>
        <w:pStyle w:val="FootnoteText"/>
        <w:rPr>
          <w:rFonts w:ascii="Open Sans" w:eastAsia="Times New Roman" w:hAnsi="Open Sans" w:cs="Open Sans"/>
          <w:i/>
          <w:iCs/>
          <w:noProof/>
          <w:color w:val="44546A" w:themeColor="text2"/>
        </w:rPr>
      </w:pPr>
      <w:r w:rsidRPr="00656E15">
        <w:rPr>
          <w:rStyle w:val="FootnoteReference"/>
          <w:rFonts w:ascii="Open Sans" w:hAnsi="Open Sans" w:cs="Open Sans"/>
          <w:sz w:val="16"/>
          <w:szCs w:val="16"/>
        </w:rPr>
        <w:footnoteRef/>
      </w:r>
      <w:r w:rsidRPr="00656E15">
        <w:rPr>
          <w:rFonts w:ascii="Open Sans" w:hAnsi="Open Sans" w:cs="Open Sans"/>
          <w:sz w:val="16"/>
          <w:szCs w:val="16"/>
        </w:rPr>
        <w:t xml:space="preserve"> </w:t>
      </w:r>
      <w:r w:rsidR="002823D8">
        <w:rPr>
          <w:rFonts w:ascii="Open Sans" w:hAnsi="Open Sans" w:cs="Open Sans"/>
          <w:sz w:val="16"/>
          <w:szCs w:val="16"/>
        </w:rPr>
        <w:t>RESULTS. “</w:t>
      </w:r>
      <w:r w:rsidR="002823D8" w:rsidRPr="002823D8">
        <w:rPr>
          <w:rFonts w:ascii="Open Sans" w:hAnsi="Open Sans" w:cs="Open Sans"/>
          <w:sz w:val="16"/>
          <w:szCs w:val="16"/>
        </w:rPr>
        <w:t>2019 U.S. Poverty Campaigns background packets</w:t>
      </w:r>
      <w:r w:rsidR="002823D8">
        <w:rPr>
          <w:rFonts w:ascii="Open Sans" w:hAnsi="Open Sans" w:cs="Open Sans"/>
          <w:sz w:val="16"/>
          <w:szCs w:val="16"/>
        </w:rPr>
        <w:t>.</w:t>
      </w:r>
      <w:r w:rsidRPr="00701ED7">
        <w:rPr>
          <w:rFonts w:ascii="Open Sans" w:hAnsi="Open Sans" w:cs="Open Sans"/>
          <w:sz w:val="16"/>
          <w:szCs w:val="16"/>
        </w:rPr>
        <w:t xml:space="preserve">" </w:t>
      </w:r>
      <w:hyperlink r:id="rId3" w:history="1">
        <w:r w:rsidR="002823D8" w:rsidRPr="00C42F70">
          <w:rPr>
            <w:rStyle w:val="Hyperlink"/>
            <w:rFonts w:ascii="Open Sans" w:hAnsi="Open Sans" w:cs="Open Sans"/>
            <w:sz w:val="16"/>
            <w:szCs w:val="16"/>
          </w:rPr>
          <w:t>https://results.org/resources/2019-international-conference-resources/</w:t>
        </w:r>
      </w:hyperlink>
      <w:r w:rsidR="002823D8">
        <w:rPr>
          <w:rFonts w:ascii="Open Sans" w:hAnsi="Open Sans" w:cs="Open Sans"/>
          <w:sz w:val="16"/>
          <w:szCs w:val="16"/>
        </w:rPr>
        <w:t xml:space="preserve">. </w:t>
      </w:r>
    </w:p>
  </w:footnote>
  <w:footnote w:id="5">
    <w:p w14:paraId="509126D8" w14:textId="2A4E1731" w:rsidR="00FA332C" w:rsidRPr="00A21A37" w:rsidRDefault="00FA332C" w:rsidP="00701ED7">
      <w:pPr>
        <w:pStyle w:val="FootnoteText"/>
        <w:rPr>
          <w:rFonts w:ascii="Open Sans" w:eastAsia="Times New Roman" w:hAnsi="Open Sans" w:cs="Open Sans"/>
          <w:i/>
          <w:iCs/>
          <w:noProof/>
          <w:color w:val="44546A" w:themeColor="text2"/>
        </w:rPr>
      </w:pPr>
      <w:r w:rsidRPr="00656E15">
        <w:rPr>
          <w:rStyle w:val="FootnoteReference"/>
          <w:rFonts w:ascii="Open Sans" w:hAnsi="Open Sans" w:cs="Open Sans"/>
          <w:sz w:val="16"/>
          <w:szCs w:val="16"/>
        </w:rPr>
        <w:footnoteRef/>
      </w:r>
      <w:r w:rsidRPr="00656E15">
        <w:rPr>
          <w:rFonts w:ascii="Open Sans" w:hAnsi="Open Sans" w:cs="Open Sans"/>
          <w:sz w:val="16"/>
          <w:szCs w:val="16"/>
        </w:rPr>
        <w:t xml:space="preserve"> </w:t>
      </w:r>
      <w:r w:rsidR="00701ED7" w:rsidRPr="00701ED7">
        <w:rPr>
          <w:rFonts w:ascii="Open Sans" w:hAnsi="Open Sans" w:cs="Open Sans"/>
          <w:sz w:val="16"/>
          <w:szCs w:val="16"/>
        </w:rPr>
        <w:t xml:space="preserve">U.S. Census Bureau. "Figure 8. Change in Number of People in Poverty After Including Each Element: 2018." </w:t>
      </w:r>
      <w:hyperlink r:id="rId4" w:history="1">
        <w:r w:rsidR="00701ED7" w:rsidRPr="00C42F70">
          <w:rPr>
            <w:rStyle w:val="Hyperlink"/>
            <w:rFonts w:ascii="Open Sans" w:hAnsi="Open Sans" w:cs="Open Sans"/>
            <w:sz w:val="16"/>
            <w:szCs w:val="16"/>
          </w:rPr>
          <w:t>https://www.census.gov/content/dam/Census/library/visualizations/2019/demo/p60-268/figure8.pdf</w:t>
        </w:r>
      </w:hyperlink>
      <w:r w:rsidR="00701ED7">
        <w:rPr>
          <w:rFonts w:ascii="Open Sans" w:hAnsi="Open Sans" w:cs="Open Sans"/>
          <w:sz w:val="16"/>
          <w:szCs w:val="16"/>
        </w:rPr>
        <w:t xml:space="preserve">. </w:t>
      </w:r>
    </w:p>
  </w:footnote>
  <w:footnote w:id="6">
    <w:p w14:paraId="606DABFC" w14:textId="246B78D3" w:rsidR="00993059" w:rsidRPr="00993059" w:rsidRDefault="005E0D05" w:rsidP="00993059">
      <w:pPr>
        <w:pStyle w:val="FootnoteText"/>
        <w:rPr>
          <w:rFonts w:ascii="Open Sans" w:hAnsi="Open Sans" w:cs="Open Sans"/>
          <w:sz w:val="16"/>
          <w:szCs w:val="16"/>
        </w:rPr>
      </w:pPr>
      <w:r w:rsidRPr="00656E15">
        <w:rPr>
          <w:rStyle w:val="FootnoteReference"/>
          <w:rFonts w:ascii="Open Sans" w:hAnsi="Open Sans" w:cs="Open Sans"/>
          <w:sz w:val="16"/>
          <w:szCs w:val="16"/>
        </w:rPr>
        <w:footnoteRef/>
      </w:r>
      <w:r w:rsidRPr="00656E15">
        <w:rPr>
          <w:rFonts w:ascii="Open Sans" w:hAnsi="Open Sans" w:cs="Open Sans"/>
          <w:sz w:val="16"/>
          <w:szCs w:val="16"/>
        </w:rPr>
        <w:t xml:space="preserve"> </w:t>
      </w:r>
      <w:r w:rsidR="00993059" w:rsidRPr="00993059">
        <w:rPr>
          <w:rFonts w:ascii="Open Sans" w:hAnsi="Open Sans" w:cs="Open Sans"/>
          <w:sz w:val="16"/>
          <w:szCs w:val="16"/>
        </w:rPr>
        <w:t xml:space="preserve">Center on Budget and Policy Priorities. “Federal Rental Assistance Fact Sheets.” Available at </w:t>
      </w:r>
    </w:p>
    <w:p w14:paraId="292FFD03" w14:textId="7DDB4832" w:rsidR="005E0D05" w:rsidRPr="0080172D" w:rsidRDefault="00993059" w:rsidP="0080172D">
      <w:pPr>
        <w:pStyle w:val="Caption"/>
        <w:spacing w:after="0"/>
        <w:rPr>
          <w:rFonts w:ascii="Open Sans" w:eastAsia="Times New Roman" w:hAnsi="Open Sans" w:cs="Open Sans"/>
          <w:noProof/>
          <w:sz w:val="20"/>
          <w:szCs w:val="20"/>
        </w:rPr>
      </w:pPr>
      <w:hyperlink r:id="rId5" w:anchor="US" w:history="1">
        <w:r w:rsidRPr="00993059">
          <w:rPr>
            <w:rStyle w:val="Hyperlink"/>
            <w:rFonts w:ascii="Open Sans" w:hAnsi="Open Sans" w:cs="Open Sans"/>
            <w:i w:val="0"/>
            <w:iCs w:val="0"/>
            <w:sz w:val="16"/>
            <w:szCs w:val="16"/>
          </w:rPr>
          <w:t>https://www.cbpp.org/research/housing/federal-rental-assistance-fact-sheets#US</w:t>
        </w:r>
      </w:hyperlink>
    </w:p>
  </w:footnote>
  <w:footnote w:id="7">
    <w:p w14:paraId="7B920523" w14:textId="50E12E36" w:rsidR="0039008C" w:rsidRPr="00A21A37" w:rsidRDefault="0039008C" w:rsidP="002662BC">
      <w:pPr>
        <w:pStyle w:val="FootnoteText"/>
        <w:rPr>
          <w:rFonts w:ascii="Open Sans" w:eastAsia="Times New Roman" w:hAnsi="Open Sans" w:cs="Open Sans"/>
          <w:i/>
          <w:iCs/>
          <w:noProof/>
          <w:color w:val="44546A" w:themeColor="text2"/>
        </w:rPr>
      </w:pPr>
      <w:r w:rsidRPr="00656E15">
        <w:rPr>
          <w:rStyle w:val="FootnoteReference"/>
          <w:rFonts w:ascii="Open Sans" w:hAnsi="Open Sans" w:cs="Open Sans"/>
          <w:sz w:val="16"/>
          <w:szCs w:val="16"/>
        </w:rPr>
        <w:footnoteRef/>
      </w:r>
      <w:r w:rsidRPr="00656E15">
        <w:rPr>
          <w:rFonts w:ascii="Open Sans" w:hAnsi="Open Sans" w:cs="Open Sans"/>
          <w:sz w:val="16"/>
          <w:szCs w:val="16"/>
        </w:rPr>
        <w:t xml:space="preserve"> </w:t>
      </w:r>
      <w:r w:rsidR="002662BC" w:rsidRPr="002662BC">
        <w:rPr>
          <w:rFonts w:ascii="Open Sans" w:hAnsi="Open Sans" w:cs="Open Sans"/>
          <w:sz w:val="16"/>
          <w:szCs w:val="16"/>
        </w:rPr>
        <w:t>Joint Center for Housing Studies of Harvard University</w:t>
      </w:r>
      <w:r w:rsidR="002662BC">
        <w:rPr>
          <w:rFonts w:ascii="Open Sans" w:hAnsi="Open Sans" w:cs="Open Sans"/>
          <w:sz w:val="16"/>
          <w:szCs w:val="16"/>
        </w:rPr>
        <w:t>.</w:t>
      </w:r>
      <w:r w:rsidR="002662BC" w:rsidRPr="002662BC">
        <w:rPr>
          <w:rFonts w:ascii="Open Sans" w:hAnsi="Open Sans" w:cs="Open Sans"/>
          <w:sz w:val="16"/>
          <w:szCs w:val="16"/>
        </w:rPr>
        <w:t xml:space="preserve"> </w:t>
      </w:r>
      <w:r w:rsidR="002662BC">
        <w:rPr>
          <w:rFonts w:ascii="Open Sans" w:hAnsi="Open Sans" w:cs="Open Sans"/>
          <w:sz w:val="16"/>
          <w:szCs w:val="16"/>
        </w:rPr>
        <w:t>“</w:t>
      </w:r>
      <w:r w:rsidR="002662BC" w:rsidRPr="002662BC">
        <w:rPr>
          <w:rFonts w:ascii="Open Sans" w:hAnsi="Open Sans" w:cs="Open Sans"/>
          <w:sz w:val="16"/>
          <w:szCs w:val="16"/>
        </w:rPr>
        <w:t>State of the Nation’s Housing 2018</w:t>
      </w:r>
      <w:r w:rsidR="002662BC">
        <w:rPr>
          <w:rFonts w:ascii="Open Sans" w:hAnsi="Open Sans" w:cs="Open Sans"/>
          <w:sz w:val="16"/>
          <w:szCs w:val="16"/>
        </w:rPr>
        <w:t>.” Available at</w:t>
      </w:r>
      <w:r w:rsidR="002662BC" w:rsidRPr="002662BC">
        <w:rPr>
          <w:rFonts w:ascii="Open Sans" w:hAnsi="Open Sans" w:cs="Open Sans"/>
          <w:sz w:val="16"/>
          <w:szCs w:val="16"/>
        </w:rPr>
        <w:t xml:space="preserve"> </w:t>
      </w:r>
      <w:hyperlink r:id="rId6" w:history="1">
        <w:r w:rsidR="00A2536B" w:rsidRPr="00C42F70">
          <w:rPr>
            <w:rStyle w:val="Hyperlink"/>
            <w:rFonts w:ascii="Open Sans" w:hAnsi="Open Sans" w:cs="Open Sans"/>
            <w:sz w:val="16"/>
            <w:szCs w:val="16"/>
          </w:rPr>
          <w:t>https://www.jchs.harvard.edu/sites/default/files/Harvard_JCHS_State_of_the_Nations_Housing_2018.pdf</w:t>
        </w:r>
      </w:hyperlink>
      <w:r w:rsidR="00A2536B">
        <w:rPr>
          <w:rFonts w:ascii="Open Sans" w:hAnsi="Open Sans" w:cs="Open Sans"/>
          <w:sz w:val="16"/>
          <w:szCs w:val="16"/>
        </w:rPr>
        <w:t xml:space="preserve"> </w:t>
      </w:r>
    </w:p>
  </w:footnote>
  <w:footnote w:id="8">
    <w:p w14:paraId="0094E53B" w14:textId="6FC641C0" w:rsidR="00EF0F63" w:rsidRPr="00A21A37" w:rsidRDefault="00EF0F63" w:rsidP="00EF0F63">
      <w:pPr>
        <w:pStyle w:val="FootnoteText"/>
        <w:rPr>
          <w:rFonts w:ascii="Open Sans" w:eastAsia="Times New Roman" w:hAnsi="Open Sans" w:cs="Open Sans"/>
          <w:i/>
          <w:iCs/>
          <w:noProof/>
          <w:color w:val="44546A" w:themeColor="text2"/>
        </w:rPr>
      </w:pPr>
      <w:r w:rsidRPr="00656E15">
        <w:rPr>
          <w:rStyle w:val="FootnoteReference"/>
          <w:rFonts w:ascii="Open Sans" w:hAnsi="Open Sans" w:cs="Open Sans"/>
          <w:sz w:val="16"/>
          <w:szCs w:val="16"/>
        </w:rPr>
        <w:footnoteRef/>
      </w:r>
      <w:r w:rsidRPr="00656E15">
        <w:rPr>
          <w:rFonts w:ascii="Open Sans" w:hAnsi="Open Sans" w:cs="Open Sans"/>
          <w:sz w:val="16"/>
          <w:szCs w:val="16"/>
        </w:rPr>
        <w:t xml:space="preserve"> </w:t>
      </w:r>
      <w:r w:rsidR="009A564D" w:rsidRPr="009A564D">
        <w:rPr>
          <w:rFonts w:ascii="Open Sans" w:hAnsi="Open Sans" w:cs="Open Sans"/>
          <w:sz w:val="16"/>
          <w:szCs w:val="16"/>
        </w:rPr>
        <w:t xml:space="preserve">Prosperity Now. "Scorecard Key Findings." https://scorecard.prosperitynow.org/main-findings </w:t>
      </w:r>
      <w:hyperlink r:id="rId7" w:history="1">
        <w:r w:rsidR="009A564D" w:rsidRPr="00C42F70">
          <w:rPr>
            <w:rStyle w:val="Hyperlink"/>
            <w:rFonts w:ascii="Open Sans" w:hAnsi="Open Sans" w:cs="Open Sans"/>
            <w:sz w:val="16"/>
            <w:szCs w:val="16"/>
          </w:rPr>
          <w:t>https://scorecard.prosperitynow.org/main-findingshttps://scorecard.prosperitynow.org/main-findings</w:t>
        </w:r>
      </w:hyperlink>
      <w:r w:rsidR="009A564D">
        <w:rPr>
          <w:rFonts w:ascii="Open Sans" w:hAnsi="Open Sans" w:cs="Open Sans"/>
          <w:sz w:val="16"/>
          <w:szCs w:val="16"/>
        </w:rPr>
        <w:t xml:space="preserve"> </w:t>
      </w:r>
    </w:p>
  </w:footnote>
  <w:footnote w:id="9">
    <w:p w14:paraId="6FF821DD" w14:textId="1151B26C" w:rsidR="00A317A1" w:rsidRPr="00656E15" w:rsidRDefault="00A317A1" w:rsidP="00A317A1">
      <w:pPr>
        <w:pStyle w:val="FootnoteText"/>
        <w:rPr>
          <w:rFonts w:ascii="Open Sans" w:hAnsi="Open Sans" w:cs="Open Sans"/>
          <w:sz w:val="16"/>
          <w:szCs w:val="16"/>
        </w:rPr>
      </w:pPr>
      <w:r w:rsidRPr="00656E15">
        <w:rPr>
          <w:rStyle w:val="FootnoteReference"/>
          <w:rFonts w:ascii="Open Sans" w:hAnsi="Open Sans" w:cs="Open Sans"/>
          <w:sz w:val="16"/>
          <w:szCs w:val="16"/>
        </w:rPr>
        <w:footnoteRef/>
      </w:r>
      <w:r w:rsidRPr="00656E15">
        <w:rPr>
          <w:rFonts w:ascii="Open Sans" w:hAnsi="Open Sans" w:cs="Open Sans"/>
          <w:sz w:val="16"/>
          <w:szCs w:val="16"/>
        </w:rPr>
        <w:t xml:space="preserve"> </w:t>
      </w:r>
      <w:r w:rsidR="00BC4AF4">
        <w:rPr>
          <w:rFonts w:ascii="Open Sans" w:hAnsi="Open Sans" w:cs="Open Sans"/>
          <w:sz w:val="16"/>
          <w:szCs w:val="16"/>
        </w:rPr>
        <w:t>CNBC</w:t>
      </w:r>
      <w:r w:rsidRPr="00656E15">
        <w:rPr>
          <w:rFonts w:ascii="Open Sans" w:hAnsi="Open Sans" w:cs="Open Sans"/>
          <w:sz w:val="16"/>
          <w:szCs w:val="16"/>
        </w:rPr>
        <w:t>. “</w:t>
      </w:r>
      <w:r w:rsidRPr="00A234CF">
        <w:rPr>
          <w:rFonts w:ascii="Open Sans" w:hAnsi="Open Sans" w:cs="Open Sans"/>
          <w:sz w:val="16"/>
          <w:szCs w:val="16"/>
        </w:rPr>
        <w:t>On the Margins: Economic Security for Women of Color through the Coronavirus Crisis and Beyond</w:t>
      </w:r>
      <w:r>
        <w:rPr>
          <w:rFonts w:ascii="Open Sans" w:hAnsi="Open Sans" w:cs="Open Sans"/>
          <w:sz w:val="16"/>
          <w:szCs w:val="16"/>
        </w:rPr>
        <w:t>”.</w:t>
      </w:r>
      <w:r w:rsidRPr="00656E15">
        <w:rPr>
          <w:rFonts w:ascii="Open Sans" w:hAnsi="Open Sans" w:cs="Open Sans"/>
          <w:sz w:val="16"/>
          <w:szCs w:val="16"/>
        </w:rPr>
        <w:t xml:space="preserve"> </w:t>
      </w:r>
      <w:r w:rsidRPr="00A21A37">
        <w:rPr>
          <w:rFonts w:ascii="Open Sans" w:hAnsi="Open Sans" w:cs="Open Sans"/>
          <w:sz w:val="16"/>
          <w:szCs w:val="16"/>
        </w:rPr>
        <w:t xml:space="preserve">Available at </w:t>
      </w:r>
      <w:hyperlink r:id="rId8" w:history="1">
        <w:r w:rsidRPr="00A21A37">
          <w:rPr>
            <w:rStyle w:val="Hyperlink"/>
            <w:rFonts w:ascii="Open Sans" w:hAnsi="Open Sans" w:cs="Open Sans"/>
            <w:sz w:val="16"/>
            <w:szCs w:val="16"/>
          </w:rPr>
          <w:t>https://womenswealthgap.org/wp-content/uploads/2020/04/OnTheMargins_April2020_CWWG.pdf</w:t>
        </w:r>
      </w:hyperlink>
    </w:p>
  </w:footnote>
  <w:footnote w:id="10">
    <w:p w14:paraId="03B76A47" w14:textId="77777777" w:rsidR="001042A2" w:rsidRPr="00656E15" w:rsidRDefault="001042A2" w:rsidP="001042A2">
      <w:pPr>
        <w:pStyle w:val="FootnoteText"/>
        <w:rPr>
          <w:rFonts w:ascii="Open Sans" w:hAnsi="Open Sans" w:cs="Open Sans"/>
          <w:sz w:val="16"/>
          <w:szCs w:val="16"/>
        </w:rPr>
      </w:pPr>
      <w:r w:rsidRPr="00656E15">
        <w:rPr>
          <w:rStyle w:val="FootnoteReference"/>
          <w:rFonts w:ascii="Open Sans" w:hAnsi="Open Sans" w:cs="Open Sans"/>
          <w:sz w:val="16"/>
          <w:szCs w:val="16"/>
        </w:rPr>
        <w:footnoteRef/>
      </w:r>
      <w:r w:rsidRPr="00656E15">
        <w:rPr>
          <w:rFonts w:ascii="Open Sans" w:hAnsi="Open Sans" w:cs="Open Sans"/>
          <w:sz w:val="16"/>
          <w:szCs w:val="16"/>
        </w:rPr>
        <w:t xml:space="preserve"> </w:t>
      </w:r>
      <w:r w:rsidRPr="00E52CC9">
        <w:rPr>
          <w:rFonts w:ascii="Open Sans" w:hAnsi="Open Sans" w:cs="Open Sans"/>
          <w:sz w:val="16"/>
          <w:szCs w:val="16"/>
        </w:rPr>
        <w:t>Closing the Women's Wealth Gap</w:t>
      </w:r>
      <w:r w:rsidRPr="00656E15">
        <w:rPr>
          <w:rFonts w:ascii="Open Sans" w:hAnsi="Open Sans" w:cs="Open Sans"/>
          <w:sz w:val="16"/>
          <w:szCs w:val="16"/>
        </w:rPr>
        <w:t>. “</w:t>
      </w:r>
      <w:r w:rsidRPr="00A234CF">
        <w:rPr>
          <w:rFonts w:ascii="Open Sans" w:hAnsi="Open Sans" w:cs="Open Sans"/>
          <w:sz w:val="16"/>
          <w:szCs w:val="16"/>
        </w:rPr>
        <w:t>On the Margins: Economic Security for Women of Color through the Coronavirus Crisis and Beyond</w:t>
      </w:r>
      <w:r>
        <w:rPr>
          <w:rFonts w:ascii="Open Sans" w:hAnsi="Open Sans" w:cs="Open Sans"/>
          <w:sz w:val="16"/>
          <w:szCs w:val="16"/>
        </w:rPr>
        <w:t>”.</w:t>
      </w:r>
      <w:r w:rsidRPr="00656E15">
        <w:rPr>
          <w:rFonts w:ascii="Open Sans" w:hAnsi="Open Sans" w:cs="Open Sans"/>
          <w:sz w:val="16"/>
          <w:szCs w:val="16"/>
        </w:rPr>
        <w:t xml:space="preserve"> </w:t>
      </w:r>
      <w:r w:rsidRPr="00A21A37">
        <w:rPr>
          <w:rFonts w:ascii="Open Sans" w:hAnsi="Open Sans" w:cs="Open Sans"/>
          <w:sz w:val="16"/>
          <w:szCs w:val="16"/>
        </w:rPr>
        <w:t xml:space="preserve">Available at </w:t>
      </w:r>
      <w:hyperlink r:id="rId9" w:history="1">
        <w:r w:rsidRPr="00A21A37">
          <w:rPr>
            <w:rStyle w:val="Hyperlink"/>
            <w:rFonts w:ascii="Open Sans" w:hAnsi="Open Sans" w:cs="Open Sans"/>
            <w:sz w:val="16"/>
            <w:szCs w:val="16"/>
          </w:rPr>
          <w:t>https://womenswealthgap.org/wp-content/uploads/2020/04/OnTheMargins_April2020_CWWG.pdf</w:t>
        </w:r>
      </w:hyperlink>
      <w:r>
        <w:rPr>
          <w:rFonts w:ascii="Open Sans" w:hAnsi="Open Sans" w:cs="Open Sans"/>
          <w:sz w:val="16"/>
          <w:szCs w:val="16"/>
        </w:rPr>
        <w:t xml:space="preserve"> </w:t>
      </w:r>
    </w:p>
  </w:footnote>
  <w:footnote w:id="11">
    <w:p w14:paraId="694DE166" w14:textId="65E38265" w:rsidR="0006793D" w:rsidRPr="00526180" w:rsidRDefault="0006793D" w:rsidP="0006793D">
      <w:pPr>
        <w:pStyle w:val="FootnoteText"/>
        <w:rPr>
          <w:rStyle w:val="Hyperlink"/>
          <w:rFonts w:ascii="Open Sans" w:eastAsia="Helvetica" w:hAnsi="Open Sans" w:cs="Open Sans"/>
          <w:color w:val="C00000"/>
          <w:sz w:val="16"/>
          <w:szCs w:val="16"/>
        </w:rPr>
      </w:pPr>
      <w:r w:rsidRPr="00526180">
        <w:rPr>
          <w:rStyle w:val="FootnoteReference"/>
          <w:rFonts w:ascii="Open Sans" w:hAnsi="Open Sans" w:cs="Open Sans"/>
          <w:sz w:val="16"/>
          <w:szCs w:val="16"/>
        </w:rPr>
        <w:footnoteRef/>
      </w:r>
      <w:r w:rsidRPr="00526180">
        <w:rPr>
          <w:rFonts w:ascii="Open Sans" w:hAnsi="Open Sans" w:cs="Open Sans"/>
          <w:sz w:val="16"/>
          <w:szCs w:val="16"/>
        </w:rPr>
        <w:t xml:space="preserve"> </w:t>
      </w:r>
      <w:r>
        <w:rPr>
          <w:rFonts w:ascii="Open Sans" w:eastAsia="Helvetica" w:hAnsi="Open Sans" w:cs="Open Sans"/>
          <w:sz w:val="16"/>
          <w:szCs w:val="16"/>
        </w:rPr>
        <w:t>Urban Institute</w:t>
      </w:r>
      <w:r w:rsidRPr="00526180">
        <w:rPr>
          <w:rFonts w:ascii="Open Sans" w:eastAsia="Helvetica" w:hAnsi="Open Sans" w:cs="Open Sans"/>
          <w:sz w:val="16"/>
          <w:szCs w:val="16"/>
        </w:rPr>
        <w:t xml:space="preserve">. “Parents Are Struggling to Provide for Their Families during the Pandemic: Material Hardships Greatest among Low-Income, Black, and Hispanic Parents,” </w:t>
      </w:r>
      <w:r w:rsidRPr="00526180">
        <w:rPr>
          <w:rFonts w:ascii="Open Sans" w:eastAsia="Helvetica" w:hAnsi="Open Sans" w:cs="Open Sans"/>
          <w:i/>
          <w:iCs/>
          <w:sz w:val="16"/>
          <w:szCs w:val="16"/>
        </w:rPr>
        <w:t>Urban Institute</w:t>
      </w:r>
      <w:r w:rsidRPr="00526180">
        <w:rPr>
          <w:rFonts w:ascii="Open Sans" w:eastAsia="Helvetica" w:hAnsi="Open Sans" w:cs="Open Sans"/>
          <w:sz w:val="16"/>
          <w:szCs w:val="16"/>
        </w:rPr>
        <w:t xml:space="preserve">. 2020. Accessed 3 June 2020. </w:t>
      </w:r>
      <w:hyperlink r:id="rId10" w:history="1">
        <w:r w:rsidRPr="00526180">
          <w:rPr>
            <w:rStyle w:val="Hyperlink"/>
            <w:rFonts w:ascii="Open Sans" w:eastAsia="Helvetica" w:hAnsi="Open Sans" w:cs="Open Sans"/>
            <w:color w:val="C00000"/>
            <w:sz w:val="16"/>
            <w:szCs w:val="16"/>
          </w:rPr>
          <w:t>https://www.urban.org/research/publication/parents-are-struggling-provide-their-families-during-pandemic</w:t>
        </w:r>
      </w:hyperlink>
    </w:p>
  </w:footnote>
  <w:footnote w:id="12">
    <w:p w14:paraId="720F5A93" w14:textId="0DD99690" w:rsidR="00E31EEF" w:rsidRPr="00656E15" w:rsidRDefault="00E31EEF" w:rsidP="00E31EEF">
      <w:pPr>
        <w:pStyle w:val="FootnoteText"/>
        <w:rPr>
          <w:rFonts w:ascii="Open Sans" w:hAnsi="Open Sans" w:cs="Open Sans"/>
          <w:sz w:val="16"/>
          <w:szCs w:val="16"/>
        </w:rPr>
      </w:pPr>
      <w:r w:rsidRPr="00656E15">
        <w:rPr>
          <w:rStyle w:val="FootnoteReference"/>
          <w:rFonts w:ascii="Open Sans" w:hAnsi="Open Sans" w:cs="Open Sans"/>
          <w:sz w:val="16"/>
          <w:szCs w:val="16"/>
        </w:rPr>
        <w:footnoteRef/>
      </w:r>
      <w:r w:rsidRPr="00656E15">
        <w:rPr>
          <w:rFonts w:ascii="Open Sans" w:hAnsi="Open Sans" w:cs="Open Sans"/>
          <w:sz w:val="16"/>
          <w:szCs w:val="16"/>
        </w:rPr>
        <w:t xml:space="preserve"> </w:t>
      </w:r>
      <w:r w:rsidRPr="00E31EEF">
        <w:rPr>
          <w:rFonts w:ascii="Open Sans" w:hAnsi="Open Sans" w:cs="Open Sans"/>
          <w:sz w:val="16"/>
          <w:szCs w:val="16"/>
        </w:rPr>
        <w:t xml:space="preserve">Urban Institute. "New Data Suggest COVID-19 is Widening Housing Disparities by Race and Income." </w:t>
      </w:r>
      <w:hyperlink r:id="rId11" w:history="1">
        <w:r w:rsidRPr="00C42F70">
          <w:rPr>
            <w:rStyle w:val="Hyperlink"/>
            <w:rFonts w:ascii="Open Sans" w:hAnsi="Open Sans" w:cs="Open Sans"/>
            <w:sz w:val="16"/>
            <w:szCs w:val="16"/>
          </w:rPr>
          <w:t>https://www.urban.org/urban-wire/new-data-suggest-covid-19-widening-housing-disparities-race-and-income</w:t>
        </w:r>
      </w:hyperlink>
      <w:r>
        <w:rPr>
          <w:rFonts w:ascii="Open Sans" w:hAnsi="Open Sans" w:cs="Open Sans"/>
          <w:sz w:val="16"/>
          <w:szCs w:val="16"/>
        </w:rPr>
        <w:t xml:space="preserve"> </w:t>
      </w:r>
    </w:p>
  </w:footnote>
  <w:footnote w:id="13">
    <w:p w14:paraId="2DFF127C" w14:textId="46E56BF1" w:rsidR="00526180" w:rsidRPr="00526180" w:rsidRDefault="00526180" w:rsidP="00526180">
      <w:pPr>
        <w:pStyle w:val="FootnoteText"/>
        <w:rPr>
          <w:rStyle w:val="Hyperlink"/>
          <w:rFonts w:ascii="Open Sans" w:eastAsia="Helvetica" w:hAnsi="Open Sans" w:cs="Open Sans"/>
          <w:color w:val="C00000"/>
          <w:sz w:val="16"/>
          <w:szCs w:val="16"/>
        </w:rPr>
      </w:pPr>
      <w:r w:rsidRPr="00526180">
        <w:rPr>
          <w:rStyle w:val="FootnoteReference"/>
          <w:rFonts w:ascii="Open Sans" w:hAnsi="Open Sans" w:cs="Open Sans"/>
          <w:sz w:val="16"/>
          <w:szCs w:val="16"/>
        </w:rPr>
        <w:footnoteRef/>
      </w:r>
      <w:r w:rsidRPr="00526180">
        <w:rPr>
          <w:rFonts w:ascii="Open Sans" w:hAnsi="Open Sans" w:cs="Open Sans"/>
          <w:sz w:val="16"/>
          <w:szCs w:val="16"/>
        </w:rPr>
        <w:t xml:space="preserve"> </w:t>
      </w:r>
      <w:r w:rsidR="00450F84">
        <w:rPr>
          <w:rFonts w:ascii="Open Sans" w:hAnsi="Open Sans" w:cs="Open Sans"/>
          <w:sz w:val="16"/>
          <w:szCs w:val="16"/>
        </w:rPr>
        <w:t>Congressional Budget Office. “</w:t>
      </w:r>
      <w:r w:rsidR="00450F84" w:rsidRPr="00450F84">
        <w:rPr>
          <w:rFonts w:ascii="Open Sans" w:hAnsi="Open Sans" w:cs="Open Sans"/>
          <w:sz w:val="16"/>
          <w:szCs w:val="16"/>
        </w:rPr>
        <w:t>CBO’s Current Projections of Output, Employment, and Interest Rates and a Preliminary Look at Federal Deficits for 2020 and 2021</w:t>
      </w:r>
      <w:r w:rsidR="00450F84">
        <w:rPr>
          <w:rFonts w:ascii="Open Sans" w:hAnsi="Open Sans" w:cs="Open Sans"/>
          <w:sz w:val="16"/>
          <w:szCs w:val="16"/>
        </w:rPr>
        <w:t>.”</w:t>
      </w:r>
      <w:r w:rsidR="00450F84" w:rsidRPr="00450F84">
        <w:rPr>
          <w:rFonts w:ascii="Open Sans" w:hAnsi="Open Sans" w:cs="Open Sans"/>
          <w:sz w:val="16"/>
          <w:szCs w:val="16"/>
        </w:rPr>
        <w:t xml:space="preserve"> </w:t>
      </w:r>
      <w:hyperlink r:id="rId12" w:history="1">
        <w:r w:rsidR="00450F84" w:rsidRPr="00C42F70">
          <w:rPr>
            <w:rStyle w:val="Hyperlink"/>
            <w:rFonts w:ascii="Open Sans" w:hAnsi="Open Sans" w:cs="Open Sans"/>
            <w:sz w:val="16"/>
            <w:szCs w:val="16"/>
          </w:rPr>
          <w:t>https://www.cbo.gov/publication/56335https://www.cbo.gov/publication/56335</w:t>
        </w:r>
      </w:hyperlink>
      <w:r w:rsidR="00450F84">
        <w:rPr>
          <w:rFonts w:ascii="Open Sans" w:hAnsi="Open Sans" w:cs="Open Sans"/>
          <w:sz w:val="16"/>
          <w:szCs w:val="16"/>
        </w:rPr>
        <w:t xml:space="preserve">. </w:t>
      </w:r>
    </w:p>
  </w:footnote>
  <w:footnote w:id="14">
    <w:p w14:paraId="2BC76959" w14:textId="1C069EC9" w:rsidR="005F09EC" w:rsidRPr="00A52985" w:rsidRDefault="005F09EC">
      <w:pPr>
        <w:pStyle w:val="FootnoteText"/>
        <w:rPr>
          <w:rFonts w:ascii="Open Sans" w:hAnsi="Open Sans" w:cs="Open Sans"/>
          <w:sz w:val="16"/>
          <w:szCs w:val="16"/>
        </w:rPr>
      </w:pPr>
      <w:r w:rsidRPr="00A52985">
        <w:rPr>
          <w:rStyle w:val="FootnoteReference"/>
          <w:rFonts w:ascii="Open Sans" w:hAnsi="Open Sans" w:cs="Open Sans"/>
          <w:sz w:val="16"/>
          <w:szCs w:val="16"/>
        </w:rPr>
        <w:footnoteRef/>
      </w:r>
      <w:r w:rsidRPr="00A52985">
        <w:rPr>
          <w:rFonts w:ascii="Open Sans" w:hAnsi="Open Sans" w:cs="Open Sans"/>
          <w:sz w:val="16"/>
          <w:szCs w:val="16"/>
        </w:rPr>
        <w:t xml:space="preserve"> </w:t>
      </w:r>
      <w:r w:rsidR="00AF3885" w:rsidRPr="00A52985">
        <w:rPr>
          <w:rFonts w:ascii="Open Sans" w:hAnsi="Open Sans" w:cs="Open Sans"/>
          <w:sz w:val="16"/>
          <w:szCs w:val="16"/>
        </w:rPr>
        <w:t xml:space="preserve">National </w:t>
      </w:r>
      <w:r w:rsidR="00E05BC9" w:rsidRPr="00A52985">
        <w:rPr>
          <w:rFonts w:ascii="Open Sans" w:hAnsi="Open Sans" w:cs="Open Sans"/>
          <w:sz w:val="16"/>
          <w:szCs w:val="16"/>
        </w:rPr>
        <w:t>Low-Income</w:t>
      </w:r>
      <w:r w:rsidR="00AF3885" w:rsidRPr="00A52985">
        <w:rPr>
          <w:rFonts w:ascii="Open Sans" w:hAnsi="Open Sans" w:cs="Open Sans"/>
          <w:sz w:val="16"/>
          <w:szCs w:val="16"/>
        </w:rPr>
        <w:t xml:space="preserve"> Housing </w:t>
      </w:r>
      <w:r w:rsidR="00B33249" w:rsidRPr="00A52985">
        <w:rPr>
          <w:rFonts w:ascii="Open Sans" w:hAnsi="Open Sans" w:cs="Open Sans"/>
          <w:sz w:val="16"/>
          <w:szCs w:val="16"/>
        </w:rPr>
        <w:t>Coalition</w:t>
      </w:r>
      <w:r w:rsidR="007D7000" w:rsidRPr="00A52985">
        <w:rPr>
          <w:rFonts w:ascii="Open Sans" w:hAnsi="Open Sans" w:cs="Open Sans"/>
          <w:sz w:val="16"/>
          <w:szCs w:val="16"/>
        </w:rPr>
        <w:t xml:space="preserve">. “NLIHC Research Note: </w:t>
      </w:r>
      <w:r w:rsidR="00E05BC9" w:rsidRPr="00A52985">
        <w:rPr>
          <w:rFonts w:ascii="Open Sans" w:hAnsi="Open Sans" w:cs="Open Sans"/>
          <w:sz w:val="16"/>
          <w:szCs w:val="16"/>
        </w:rPr>
        <w:t xml:space="preserve">The Need for Emergency Rental </w:t>
      </w:r>
      <w:r w:rsidR="007F4AE1" w:rsidRPr="00A52985">
        <w:rPr>
          <w:rFonts w:ascii="Open Sans" w:hAnsi="Open Sans" w:cs="Open Sans"/>
          <w:sz w:val="16"/>
          <w:szCs w:val="16"/>
        </w:rPr>
        <w:t>Assistance</w:t>
      </w:r>
      <w:r w:rsidR="00E05BC9" w:rsidRPr="00A52985">
        <w:rPr>
          <w:rFonts w:ascii="Open Sans" w:hAnsi="Open Sans" w:cs="Open Sans"/>
          <w:sz w:val="16"/>
          <w:szCs w:val="16"/>
        </w:rPr>
        <w:t xml:space="preserve"> During the COVID-19 and Economic Crisis.” </w:t>
      </w:r>
      <w:hyperlink r:id="rId13" w:history="1">
        <w:r w:rsidR="00A52985" w:rsidRPr="00A52985">
          <w:rPr>
            <w:rStyle w:val="Hyperlink"/>
            <w:rFonts w:ascii="Open Sans" w:hAnsi="Open Sans" w:cs="Open Sans"/>
            <w:sz w:val="16"/>
            <w:szCs w:val="16"/>
          </w:rPr>
          <w:t>https://nlihc.org/sites/default/files/Emergency-Rental-Assistance-Needs-for-Workers-Struggling-due-to-COVID-19.pdf</w:t>
        </w:r>
      </w:hyperlink>
    </w:p>
  </w:footnote>
  <w:footnote w:id="15">
    <w:p w14:paraId="1FAFB8E4" w14:textId="34B19BCA" w:rsidR="003C28CF" w:rsidRPr="00A52985" w:rsidRDefault="003C28CF" w:rsidP="003C28CF">
      <w:pPr>
        <w:pStyle w:val="FootnoteText"/>
        <w:rPr>
          <w:rFonts w:ascii="Open Sans" w:hAnsi="Open Sans" w:cs="Open Sans"/>
          <w:sz w:val="16"/>
          <w:szCs w:val="16"/>
        </w:rPr>
      </w:pPr>
      <w:r w:rsidRPr="00A52985">
        <w:rPr>
          <w:rStyle w:val="FootnoteReference"/>
          <w:rFonts w:ascii="Open Sans" w:hAnsi="Open Sans" w:cs="Open Sans"/>
          <w:sz w:val="16"/>
          <w:szCs w:val="16"/>
        </w:rPr>
        <w:footnoteRef/>
      </w:r>
      <w:r w:rsidRPr="00A52985">
        <w:rPr>
          <w:rFonts w:ascii="Open Sans" w:hAnsi="Open Sans" w:cs="Open Sans"/>
          <w:sz w:val="16"/>
          <w:szCs w:val="16"/>
        </w:rPr>
        <w:t xml:space="preserve"> </w:t>
      </w:r>
      <w:r w:rsidR="00C02589">
        <w:rPr>
          <w:rFonts w:ascii="Open Sans" w:hAnsi="Open Sans" w:cs="Open Sans"/>
          <w:sz w:val="16"/>
          <w:szCs w:val="16"/>
        </w:rPr>
        <w:t>Vox. “</w:t>
      </w:r>
      <w:r w:rsidR="00C02589" w:rsidRPr="00C02589">
        <w:rPr>
          <w:rFonts w:ascii="Open Sans" w:hAnsi="Open Sans" w:cs="Open Sans"/>
          <w:sz w:val="16"/>
          <w:szCs w:val="16"/>
        </w:rPr>
        <w:t>5 anti-poverty plans from 2020 Democratic presidential contenders, explained</w:t>
      </w:r>
      <w:r w:rsidR="00C02589">
        <w:rPr>
          <w:rFonts w:ascii="Open Sans" w:hAnsi="Open Sans" w:cs="Open Sans"/>
          <w:sz w:val="16"/>
          <w:szCs w:val="16"/>
        </w:rPr>
        <w:t>”</w:t>
      </w:r>
      <w:r w:rsidR="00C02589" w:rsidRPr="00C02589">
        <w:rPr>
          <w:rFonts w:ascii="Open Sans" w:hAnsi="Open Sans" w:cs="Open Sans"/>
          <w:sz w:val="16"/>
          <w:szCs w:val="16"/>
        </w:rPr>
        <w:t xml:space="preserve"> </w:t>
      </w:r>
      <w:hyperlink r:id="rId14" w:history="1">
        <w:r w:rsidR="00C02589" w:rsidRPr="00C42F70">
          <w:rPr>
            <w:rStyle w:val="Hyperlink"/>
            <w:rFonts w:ascii="Open Sans" w:hAnsi="Open Sans" w:cs="Open Sans"/>
            <w:sz w:val="16"/>
            <w:szCs w:val="16"/>
          </w:rPr>
          <w:t>https://www.vox.com/future-perfect/2019/1/30/18183769/democrat-poverty-plans-2020-presidential-kamala-harris-booker-gillibrand</w:t>
        </w:r>
      </w:hyperlink>
      <w:r w:rsidR="00C02589">
        <w:rPr>
          <w:rFonts w:ascii="Open Sans" w:hAnsi="Open Sans" w:cs="Open Sans"/>
          <w:sz w:val="16"/>
          <w:szCs w:val="16"/>
        </w:rPr>
        <w:t xml:space="preserve"> </w:t>
      </w:r>
    </w:p>
  </w:footnote>
  <w:footnote w:id="16">
    <w:p w14:paraId="4191545C" w14:textId="1E9A2E7A" w:rsidR="00D56DD5" w:rsidRPr="00B91D0C" w:rsidRDefault="00D56DD5" w:rsidP="00D56DD5">
      <w:pPr>
        <w:pStyle w:val="FootnoteText"/>
        <w:rPr>
          <w:rFonts w:ascii="Open Sans" w:hAnsi="Open Sans" w:cs="Open Sans"/>
          <w:color w:val="C00000"/>
          <w:sz w:val="16"/>
          <w:szCs w:val="16"/>
        </w:rPr>
      </w:pPr>
      <w:r w:rsidRPr="00B91D0C">
        <w:rPr>
          <w:rStyle w:val="FootnoteReference"/>
          <w:rFonts w:ascii="Open Sans" w:hAnsi="Open Sans" w:cs="Open Sans"/>
          <w:sz w:val="16"/>
          <w:szCs w:val="16"/>
        </w:rPr>
        <w:footnoteRef/>
      </w:r>
      <w:r w:rsidRPr="00B91D0C">
        <w:rPr>
          <w:rFonts w:ascii="Open Sans" w:hAnsi="Open Sans" w:cs="Open Sans"/>
          <w:sz w:val="16"/>
          <w:szCs w:val="16"/>
        </w:rPr>
        <w:t xml:space="preserve"> </w:t>
      </w:r>
      <w:r w:rsidR="00B91D0C" w:rsidRPr="00B91D0C">
        <w:rPr>
          <w:rFonts w:ascii="Open Sans" w:hAnsi="Open Sans" w:cs="Open Sans"/>
          <w:sz w:val="16"/>
          <w:szCs w:val="16"/>
        </w:rPr>
        <w:t>The U.S. Department of Agriculture</w:t>
      </w:r>
      <w:r w:rsidR="004817B0">
        <w:rPr>
          <w:rFonts w:ascii="Open Sans" w:eastAsia="Helvetica" w:hAnsi="Open Sans" w:cs="Open Sans"/>
          <w:sz w:val="16"/>
          <w:szCs w:val="16"/>
        </w:rPr>
        <w:t>. D</w:t>
      </w:r>
      <w:r w:rsidRPr="00B91D0C">
        <w:rPr>
          <w:rFonts w:ascii="Open Sans" w:hAnsi="Open Sans" w:cs="Open Sans"/>
          <w:sz w:val="16"/>
          <w:szCs w:val="16"/>
        </w:rPr>
        <w:t xml:space="preserve">efinition of food insecurity: </w:t>
      </w:r>
      <w:r w:rsidRPr="00B91D0C">
        <w:rPr>
          <w:rFonts w:ascii="Open Sans" w:hAnsi="Open Sans" w:cs="Open Sans"/>
          <w:color w:val="C00000"/>
          <w:sz w:val="16"/>
          <w:szCs w:val="16"/>
          <w:u w:val="single"/>
        </w:rPr>
        <w:t>https://www.ers.usda.gov/topics/food-nutrition-assistance/food-security-in-the-us/definitions-of-food-security.aspx</w:t>
      </w:r>
      <w:r w:rsidRPr="00B91D0C">
        <w:rPr>
          <w:rFonts w:ascii="Open Sans" w:hAnsi="Open Sans" w:cs="Open Sans"/>
          <w:color w:val="C00000"/>
          <w:sz w:val="16"/>
          <w:szCs w:val="16"/>
        </w:rPr>
        <w:t xml:space="preserve"> </w:t>
      </w:r>
    </w:p>
  </w:footnote>
  <w:footnote w:id="17">
    <w:p w14:paraId="7F5E2A2E" w14:textId="69C7CCC1" w:rsidR="00D56DD5" w:rsidRPr="00B91D0C" w:rsidRDefault="00D56DD5" w:rsidP="00D56DD5">
      <w:pPr>
        <w:pStyle w:val="FootnoteText"/>
        <w:spacing w:line="276" w:lineRule="auto"/>
        <w:rPr>
          <w:rFonts w:ascii="Open Sans" w:hAnsi="Open Sans" w:cs="Open Sans"/>
          <w:color w:val="C00000"/>
          <w:sz w:val="16"/>
          <w:szCs w:val="16"/>
        </w:rPr>
      </w:pPr>
      <w:r w:rsidRPr="00B91D0C">
        <w:rPr>
          <w:rStyle w:val="FootnoteReference"/>
          <w:rFonts w:ascii="Open Sans" w:eastAsia="Helvetica" w:hAnsi="Open Sans" w:cs="Open Sans"/>
          <w:sz w:val="16"/>
          <w:szCs w:val="16"/>
        </w:rPr>
        <w:footnoteRef/>
      </w:r>
      <w:r w:rsidRPr="00B91D0C">
        <w:rPr>
          <w:rFonts w:ascii="Open Sans" w:eastAsia="Helvetica" w:hAnsi="Open Sans" w:cs="Open Sans"/>
          <w:sz w:val="16"/>
          <w:szCs w:val="16"/>
        </w:rPr>
        <w:t xml:space="preserve"> </w:t>
      </w:r>
      <w:r w:rsidR="00B91D0C" w:rsidRPr="00B91D0C">
        <w:rPr>
          <w:rFonts w:ascii="Open Sans" w:hAnsi="Open Sans" w:cs="Open Sans"/>
          <w:sz w:val="16"/>
          <w:szCs w:val="16"/>
        </w:rPr>
        <w:t>The U.S. Department of Agriculture</w:t>
      </w:r>
      <w:r w:rsidRPr="00B91D0C">
        <w:rPr>
          <w:rFonts w:ascii="Open Sans" w:eastAsia="Helvetica" w:hAnsi="Open Sans" w:cs="Open Sans"/>
          <w:sz w:val="16"/>
          <w:szCs w:val="16"/>
        </w:rPr>
        <w:t>. “Household Food Security in the United States in 2018</w:t>
      </w:r>
      <w:r w:rsidR="00B91D0C">
        <w:rPr>
          <w:rFonts w:ascii="Open Sans" w:eastAsia="Helvetica" w:hAnsi="Open Sans" w:cs="Open Sans"/>
          <w:sz w:val="16"/>
          <w:szCs w:val="16"/>
        </w:rPr>
        <w:t>.</w:t>
      </w:r>
      <w:r w:rsidRPr="00B91D0C">
        <w:rPr>
          <w:rFonts w:ascii="Open Sans" w:eastAsia="Helvetica" w:hAnsi="Open Sans" w:cs="Open Sans"/>
          <w:sz w:val="16"/>
          <w:szCs w:val="16"/>
        </w:rPr>
        <w:t xml:space="preserve">” </w:t>
      </w:r>
      <w:hyperlink r:id="rId15" w:history="1">
        <w:r w:rsidRPr="00B91D0C">
          <w:rPr>
            <w:rStyle w:val="Hyperlink"/>
            <w:rFonts w:ascii="Open Sans" w:hAnsi="Open Sans" w:cs="Open Sans"/>
            <w:color w:val="C00000"/>
            <w:sz w:val="16"/>
            <w:szCs w:val="16"/>
          </w:rPr>
          <w:t>https://www.ers.usda.gov/webdocs/publications/94849/err-270.pdf?v=9183.3</w:t>
        </w:r>
      </w:hyperlink>
      <w:r w:rsidRPr="00B91D0C">
        <w:rPr>
          <w:rFonts w:ascii="Open Sans" w:hAnsi="Open Sans" w:cs="Open Sans"/>
          <w:color w:val="C00000"/>
          <w:sz w:val="16"/>
          <w:szCs w:val="16"/>
        </w:rPr>
        <w:t xml:space="preserve"> </w:t>
      </w:r>
    </w:p>
  </w:footnote>
  <w:footnote w:id="18">
    <w:p w14:paraId="5A8521F7" w14:textId="1FA197C3" w:rsidR="00D56DD5" w:rsidRPr="00B91D0C" w:rsidRDefault="00D56DD5" w:rsidP="00D56DD5">
      <w:pPr>
        <w:pStyle w:val="FootnoteText"/>
        <w:rPr>
          <w:rFonts w:ascii="Open Sans" w:hAnsi="Open Sans" w:cs="Open Sans"/>
          <w:sz w:val="16"/>
          <w:szCs w:val="16"/>
        </w:rPr>
      </w:pPr>
      <w:r w:rsidRPr="00B91D0C">
        <w:rPr>
          <w:rStyle w:val="FootnoteReference"/>
          <w:rFonts w:ascii="Open Sans" w:hAnsi="Open Sans" w:cs="Open Sans"/>
          <w:sz w:val="16"/>
          <w:szCs w:val="16"/>
        </w:rPr>
        <w:footnoteRef/>
      </w:r>
      <w:r w:rsidRPr="00B91D0C">
        <w:rPr>
          <w:rFonts w:ascii="Open Sans" w:hAnsi="Open Sans" w:cs="Open Sans"/>
          <w:sz w:val="16"/>
          <w:szCs w:val="16"/>
        </w:rPr>
        <w:t xml:space="preserve"> </w:t>
      </w:r>
      <w:r w:rsidR="00B91D0C" w:rsidRPr="00B91D0C">
        <w:rPr>
          <w:rFonts w:ascii="Open Sans" w:hAnsi="Open Sans" w:cs="Open Sans"/>
          <w:sz w:val="16"/>
          <w:szCs w:val="16"/>
        </w:rPr>
        <w:t>Feeding America</w:t>
      </w:r>
      <w:r w:rsidR="00B91D0C">
        <w:rPr>
          <w:rFonts w:ascii="Open Sans" w:hAnsi="Open Sans" w:cs="Open Sans"/>
          <w:sz w:val="16"/>
          <w:szCs w:val="16"/>
        </w:rPr>
        <w:t xml:space="preserve">. </w:t>
      </w:r>
      <w:r w:rsidRPr="00B91D0C">
        <w:rPr>
          <w:rFonts w:ascii="Open Sans" w:hAnsi="Open Sans" w:cs="Open Sans"/>
          <w:sz w:val="16"/>
          <w:szCs w:val="16"/>
        </w:rPr>
        <w:t>“The Impact of the Coronavirus on Local Food Insecurity</w:t>
      </w:r>
      <w:r w:rsidR="00B91D0C">
        <w:rPr>
          <w:rFonts w:ascii="Open Sans" w:hAnsi="Open Sans" w:cs="Open Sans"/>
          <w:sz w:val="16"/>
          <w:szCs w:val="16"/>
        </w:rPr>
        <w:t>.</w:t>
      </w:r>
      <w:r w:rsidRPr="00B91D0C">
        <w:rPr>
          <w:rFonts w:ascii="Open Sans" w:hAnsi="Open Sans" w:cs="Open Sans"/>
          <w:sz w:val="16"/>
          <w:szCs w:val="16"/>
        </w:rPr>
        <w:t>”</w:t>
      </w:r>
      <w:r w:rsidR="00B91D0C">
        <w:rPr>
          <w:rFonts w:ascii="Open Sans" w:hAnsi="Open Sans" w:cs="Open Sans"/>
          <w:sz w:val="16"/>
          <w:szCs w:val="16"/>
        </w:rPr>
        <w:t xml:space="preserve"> </w:t>
      </w:r>
      <w:hyperlink r:id="rId16" w:history="1">
        <w:r w:rsidRPr="00B91D0C">
          <w:rPr>
            <w:rStyle w:val="Hyperlink"/>
            <w:rFonts w:ascii="Open Sans" w:hAnsi="Open Sans" w:cs="Open Sans"/>
            <w:color w:val="C00000"/>
            <w:sz w:val="16"/>
            <w:szCs w:val="16"/>
          </w:rPr>
          <w:t>https://www.feedingamerica.org/sites/default/files/2020-05/Brief_Local%20Impact_5.19.2020.pdf</w:t>
        </w:r>
      </w:hyperlink>
    </w:p>
  </w:footnote>
  <w:footnote w:id="19">
    <w:p w14:paraId="4074F94A" w14:textId="11704669" w:rsidR="00D56DD5" w:rsidRPr="00B062FA" w:rsidRDefault="00D56DD5" w:rsidP="00D56DD5">
      <w:pPr>
        <w:pStyle w:val="FootnoteText"/>
        <w:rPr>
          <w:rFonts w:ascii="Open Sans" w:hAnsi="Open Sans" w:cs="Open Sans"/>
          <w:color w:val="C00000"/>
          <w:sz w:val="16"/>
          <w:szCs w:val="16"/>
        </w:rPr>
      </w:pPr>
      <w:r w:rsidRPr="00B91D0C">
        <w:rPr>
          <w:rStyle w:val="FootnoteReference"/>
          <w:rFonts w:ascii="Open Sans" w:hAnsi="Open Sans" w:cs="Open Sans"/>
          <w:sz w:val="16"/>
          <w:szCs w:val="16"/>
        </w:rPr>
        <w:footnoteRef/>
      </w:r>
      <w:r w:rsidRPr="00B91D0C">
        <w:rPr>
          <w:rFonts w:ascii="Open Sans" w:hAnsi="Open Sans" w:cs="Open Sans"/>
          <w:sz w:val="16"/>
          <w:szCs w:val="16"/>
        </w:rPr>
        <w:t xml:space="preserve"> </w:t>
      </w:r>
      <w:r w:rsidR="00B062FA" w:rsidRPr="00B91D0C">
        <w:rPr>
          <w:rFonts w:ascii="Open Sans" w:hAnsi="Open Sans" w:cs="Open Sans"/>
          <w:sz w:val="16"/>
          <w:szCs w:val="16"/>
        </w:rPr>
        <w:t xml:space="preserve">US Department of Agriculture. </w:t>
      </w:r>
      <w:r w:rsidRPr="00B91D0C">
        <w:rPr>
          <w:rFonts w:ascii="Open Sans" w:hAnsi="Open Sans" w:cs="Open Sans"/>
          <w:sz w:val="16"/>
          <w:szCs w:val="16"/>
        </w:rPr>
        <w:t>“A Short History of SNAP</w:t>
      </w:r>
      <w:r w:rsidR="00B062FA" w:rsidRPr="00B91D0C">
        <w:rPr>
          <w:rFonts w:ascii="Open Sans" w:hAnsi="Open Sans" w:cs="Open Sans"/>
          <w:sz w:val="16"/>
          <w:szCs w:val="16"/>
        </w:rPr>
        <w:t>.</w:t>
      </w:r>
      <w:r w:rsidRPr="00B91D0C">
        <w:rPr>
          <w:rFonts w:ascii="Open Sans" w:hAnsi="Open Sans" w:cs="Open Sans"/>
          <w:sz w:val="16"/>
          <w:szCs w:val="16"/>
        </w:rPr>
        <w:t>”</w:t>
      </w:r>
      <w:r w:rsidR="00B062FA" w:rsidRPr="00B91D0C">
        <w:rPr>
          <w:rFonts w:ascii="Open Sans" w:hAnsi="Open Sans" w:cs="Open Sans"/>
          <w:sz w:val="16"/>
          <w:szCs w:val="16"/>
        </w:rPr>
        <w:t xml:space="preserve"> </w:t>
      </w:r>
      <w:hyperlink r:id="rId17" w:history="1">
        <w:r w:rsidRPr="00B91D0C">
          <w:rPr>
            <w:rStyle w:val="Hyperlink"/>
            <w:rFonts w:ascii="Open Sans" w:hAnsi="Open Sans" w:cs="Open Sans"/>
            <w:color w:val="C00000"/>
            <w:sz w:val="16"/>
            <w:szCs w:val="16"/>
          </w:rPr>
          <w:t>https://www.fns.usda.gov/snap/short-history-snap</w:t>
        </w:r>
      </w:hyperlink>
    </w:p>
  </w:footnote>
  <w:footnote w:id="20">
    <w:p w14:paraId="628C6FAF" w14:textId="2C9FFC15" w:rsidR="00D56DD5" w:rsidRPr="00B062FA" w:rsidRDefault="00D56DD5" w:rsidP="00D56DD5">
      <w:pPr>
        <w:pStyle w:val="FootnoteText"/>
        <w:rPr>
          <w:rFonts w:ascii="Open Sans" w:hAnsi="Open Sans" w:cs="Open Sans"/>
          <w:color w:val="C00000"/>
          <w:sz w:val="16"/>
          <w:szCs w:val="16"/>
        </w:rPr>
      </w:pPr>
      <w:r w:rsidRPr="00B062FA">
        <w:rPr>
          <w:rStyle w:val="FootnoteReference"/>
          <w:rFonts w:ascii="Open Sans" w:hAnsi="Open Sans" w:cs="Open Sans"/>
          <w:sz w:val="16"/>
          <w:szCs w:val="16"/>
        </w:rPr>
        <w:footnoteRef/>
      </w:r>
      <w:r w:rsidRPr="00B062FA">
        <w:rPr>
          <w:rFonts w:ascii="Open Sans" w:hAnsi="Open Sans" w:cs="Open Sans"/>
          <w:sz w:val="16"/>
          <w:szCs w:val="16"/>
        </w:rPr>
        <w:t xml:space="preserve"> </w:t>
      </w:r>
      <w:r w:rsidR="00B062FA" w:rsidRPr="00B062FA">
        <w:rPr>
          <w:rFonts w:ascii="Open Sans" w:hAnsi="Open Sans" w:cs="Open Sans"/>
          <w:sz w:val="16"/>
          <w:szCs w:val="16"/>
        </w:rPr>
        <w:t xml:space="preserve">Center on Budget and Policy Priorities. </w:t>
      </w:r>
      <w:r w:rsidRPr="00B062FA">
        <w:rPr>
          <w:rFonts w:ascii="Open Sans" w:hAnsi="Open Sans" w:cs="Open Sans"/>
          <w:sz w:val="16"/>
          <w:szCs w:val="16"/>
        </w:rPr>
        <w:t>“Policy Basics: The Supplemental Nutrition Assistance Program (SNAP)</w:t>
      </w:r>
      <w:r w:rsidR="00B062FA">
        <w:rPr>
          <w:rFonts w:ascii="Open Sans" w:hAnsi="Open Sans" w:cs="Open Sans"/>
          <w:sz w:val="16"/>
          <w:szCs w:val="16"/>
        </w:rPr>
        <w:t>.</w:t>
      </w:r>
      <w:r w:rsidRPr="00B062FA">
        <w:rPr>
          <w:rFonts w:ascii="Open Sans" w:hAnsi="Open Sans" w:cs="Open Sans"/>
          <w:sz w:val="16"/>
          <w:szCs w:val="16"/>
        </w:rPr>
        <w:t xml:space="preserve">” </w:t>
      </w:r>
      <w:hyperlink r:id="rId18" w:history="1">
        <w:r w:rsidRPr="00B062FA">
          <w:rPr>
            <w:rStyle w:val="Hyperlink"/>
            <w:rFonts w:ascii="Open Sans" w:hAnsi="Open Sans" w:cs="Open Sans"/>
            <w:color w:val="C00000"/>
            <w:sz w:val="16"/>
            <w:szCs w:val="16"/>
          </w:rPr>
          <w:t>https://www.cbpp.org/research/policy-basics-the-supplemental-nutrition-assistance-program-snap</w:t>
        </w:r>
      </w:hyperlink>
      <w:r w:rsidRPr="00B062FA">
        <w:rPr>
          <w:rFonts w:ascii="Open Sans" w:hAnsi="Open Sans" w:cs="Open Sans"/>
          <w:color w:val="C00000"/>
          <w:sz w:val="16"/>
          <w:szCs w:val="16"/>
        </w:rPr>
        <w:t xml:space="preserve"> </w:t>
      </w:r>
    </w:p>
  </w:footnote>
  <w:footnote w:id="21">
    <w:p w14:paraId="40A58AAE" w14:textId="59CF35F7" w:rsidR="00D56DD5" w:rsidRPr="00B062FA" w:rsidRDefault="00D56DD5" w:rsidP="00D56DD5">
      <w:pPr>
        <w:pStyle w:val="FootnoteText"/>
        <w:rPr>
          <w:rFonts w:ascii="Open Sans" w:hAnsi="Open Sans" w:cs="Open Sans"/>
          <w:sz w:val="16"/>
          <w:szCs w:val="16"/>
        </w:rPr>
      </w:pPr>
      <w:r w:rsidRPr="00B062FA">
        <w:rPr>
          <w:rStyle w:val="FootnoteReference"/>
          <w:rFonts w:ascii="Open Sans" w:hAnsi="Open Sans" w:cs="Open Sans"/>
          <w:sz w:val="16"/>
          <w:szCs w:val="16"/>
        </w:rPr>
        <w:footnoteRef/>
      </w:r>
      <w:r w:rsidRPr="00B062FA">
        <w:rPr>
          <w:rFonts w:ascii="Open Sans" w:hAnsi="Open Sans" w:cs="Open Sans"/>
          <w:sz w:val="16"/>
          <w:szCs w:val="16"/>
        </w:rPr>
        <w:t xml:space="preserve"> </w:t>
      </w:r>
      <w:r w:rsidR="00B062FA" w:rsidRPr="00B062FA">
        <w:rPr>
          <w:rFonts w:ascii="Open Sans" w:hAnsi="Open Sans" w:cs="Open Sans"/>
          <w:sz w:val="16"/>
          <w:szCs w:val="16"/>
        </w:rPr>
        <w:t xml:space="preserve">U.S. Department of Agriculture. </w:t>
      </w:r>
      <w:r w:rsidRPr="00B062FA">
        <w:rPr>
          <w:rFonts w:ascii="Open Sans" w:hAnsi="Open Sans" w:cs="Open Sans"/>
          <w:sz w:val="16"/>
          <w:szCs w:val="16"/>
        </w:rPr>
        <w:t>“SNAP Data Tables</w:t>
      </w:r>
      <w:r w:rsidR="00B062FA">
        <w:rPr>
          <w:rFonts w:ascii="Open Sans" w:hAnsi="Open Sans" w:cs="Open Sans"/>
          <w:sz w:val="16"/>
          <w:szCs w:val="16"/>
        </w:rPr>
        <w:t>.</w:t>
      </w:r>
      <w:r w:rsidRPr="00B062FA">
        <w:rPr>
          <w:rFonts w:ascii="Open Sans" w:hAnsi="Open Sans" w:cs="Open Sans"/>
          <w:sz w:val="16"/>
          <w:szCs w:val="16"/>
        </w:rPr>
        <w:t xml:space="preserve">” </w:t>
      </w:r>
      <w:hyperlink r:id="rId19" w:history="1">
        <w:r w:rsidRPr="00B062FA">
          <w:rPr>
            <w:rStyle w:val="Hyperlink"/>
            <w:rFonts w:ascii="Open Sans" w:hAnsi="Open Sans" w:cs="Open Sans"/>
            <w:color w:val="C00000"/>
            <w:sz w:val="16"/>
            <w:szCs w:val="16"/>
          </w:rPr>
          <w:t>https://www.fns.usda.gov/pd/supplemental-nutrition-assistance-program-snap</w:t>
        </w:r>
      </w:hyperlink>
    </w:p>
  </w:footnote>
  <w:footnote w:id="22">
    <w:p w14:paraId="29C60396" w14:textId="5F817121" w:rsidR="00D56DD5" w:rsidRPr="00B062FA" w:rsidRDefault="00D56DD5" w:rsidP="00D56DD5">
      <w:pPr>
        <w:pStyle w:val="FootnoteText"/>
        <w:rPr>
          <w:rFonts w:ascii="Open Sans" w:hAnsi="Open Sans" w:cs="Open Sans"/>
          <w:color w:val="C00000"/>
          <w:sz w:val="16"/>
          <w:szCs w:val="16"/>
        </w:rPr>
      </w:pPr>
      <w:r w:rsidRPr="00B062FA">
        <w:rPr>
          <w:rStyle w:val="FootnoteReference"/>
          <w:rFonts w:ascii="Open Sans" w:hAnsi="Open Sans" w:cs="Open Sans"/>
          <w:color w:val="000000" w:themeColor="text1"/>
          <w:sz w:val="16"/>
          <w:szCs w:val="16"/>
        </w:rPr>
        <w:footnoteRef/>
      </w:r>
      <w:r w:rsidRPr="00B062FA">
        <w:rPr>
          <w:rFonts w:ascii="Open Sans" w:hAnsi="Open Sans" w:cs="Open Sans"/>
          <w:color w:val="C00000"/>
          <w:sz w:val="16"/>
          <w:szCs w:val="16"/>
        </w:rPr>
        <w:t xml:space="preserve"> </w:t>
      </w:r>
      <w:r w:rsidR="00B062FA" w:rsidRPr="00B062FA">
        <w:rPr>
          <w:rFonts w:ascii="Open Sans" w:hAnsi="Open Sans" w:cs="Open Sans"/>
          <w:color w:val="000000" w:themeColor="text1"/>
          <w:sz w:val="16"/>
          <w:szCs w:val="16"/>
        </w:rPr>
        <w:t xml:space="preserve">U.S. Census Bureau. </w:t>
      </w:r>
      <w:r w:rsidRPr="00B062FA">
        <w:rPr>
          <w:rFonts w:ascii="Open Sans" w:hAnsi="Open Sans" w:cs="Open Sans"/>
          <w:color w:val="000000" w:themeColor="text1"/>
          <w:sz w:val="16"/>
          <w:szCs w:val="16"/>
        </w:rPr>
        <w:t>“The Supplemental Poverty Measure: 2018</w:t>
      </w:r>
      <w:r w:rsidR="00B062FA">
        <w:rPr>
          <w:rFonts w:ascii="Open Sans" w:hAnsi="Open Sans" w:cs="Open Sans"/>
          <w:color w:val="000000" w:themeColor="text1"/>
          <w:sz w:val="16"/>
          <w:szCs w:val="16"/>
        </w:rPr>
        <w:t>.</w:t>
      </w:r>
      <w:r w:rsidRPr="00B062FA">
        <w:rPr>
          <w:rFonts w:ascii="Open Sans" w:hAnsi="Open Sans" w:cs="Open Sans"/>
          <w:color w:val="000000" w:themeColor="text1"/>
          <w:sz w:val="16"/>
          <w:szCs w:val="16"/>
        </w:rPr>
        <w:t xml:space="preserve">” </w:t>
      </w:r>
      <w:hyperlink r:id="rId20" w:history="1">
        <w:r w:rsidRPr="00B062FA">
          <w:rPr>
            <w:rStyle w:val="Hyperlink"/>
            <w:rFonts w:ascii="Open Sans" w:hAnsi="Open Sans" w:cs="Open Sans"/>
            <w:color w:val="C00000"/>
            <w:sz w:val="16"/>
            <w:szCs w:val="16"/>
          </w:rPr>
          <w:t>https://www.census.gov/content/dam/Census/library/publications/2019/demo/p60-268.pdf</w:t>
        </w:r>
      </w:hyperlink>
    </w:p>
  </w:footnote>
  <w:footnote w:id="23">
    <w:p w14:paraId="2C846B2F" w14:textId="180F66DC" w:rsidR="00D56DD5" w:rsidRPr="00B062FA" w:rsidRDefault="00D56DD5" w:rsidP="00D56DD5">
      <w:pPr>
        <w:pStyle w:val="FootnoteText"/>
        <w:rPr>
          <w:rFonts w:ascii="Open Sans" w:hAnsi="Open Sans" w:cs="Open Sans"/>
          <w:sz w:val="16"/>
          <w:szCs w:val="16"/>
        </w:rPr>
      </w:pPr>
      <w:r w:rsidRPr="00B062FA">
        <w:rPr>
          <w:rStyle w:val="FootnoteReference"/>
          <w:rFonts w:ascii="Open Sans" w:hAnsi="Open Sans" w:cs="Open Sans"/>
          <w:sz w:val="16"/>
          <w:szCs w:val="16"/>
        </w:rPr>
        <w:footnoteRef/>
      </w:r>
      <w:r w:rsidRPr="00B062FA">
        <w:rPr>
          <w:rFonts w:ascii="Open Sans" w:hAnsi="Open Sans" w:cs="Open Sans"/>
          <w:sz w:val="16"/>
          <w:szCs w:val="16"/>
        </w:rPr>
        <w:t xml:space="preserve"> </w:t>
      </w:r>
      <w:r w:rsidR="00B062FA" w:rsidRPr="00B062FA">
        <w:rPr>
          <w:rFonts w:ascii="Open Sans" w:hAnsi="Open Sans" w:cs="Open Sans"/>
          <w:sz w:val="16"/>
          <w:szCs w:val="16"/>
        </w:rPr>
        <w:t>Urban Institute</w:t>
      </w:r>
      <w:r w:rsidR="00B062FA">
        <w:rPr>
          <w:rFonts w:ascii="Open Sans" w:hAnsi="Open Sans" w:cs="Open Sans"/>
          <w:sz w:val="16"/>
          <w:szCs w:val="16"/>
        </w:rPr>
        <w:t>.</w:t>
      </w:r>
      <w:r w:rsidR="00B062FA" w:rsidRPr="00B062FA">
        <w:rPr>
          <w:rFonts w:ascii="Open Sans" w:hAnsi="Open Sans" w:cs="Open Sans"/>
          <w:sz w:val="16"/>
          <w:szCs w:val="16"/>
        </w:rPr>
        <w:t xml:space="preserve"> </w:t>
      </w:r>
      <w:r w:rsidRPr="00B062FA">
        <w:rPr>
          <w:rFonts w:ascii="Open Sans" w:hAnsi="Open Sans" w:cs="Open Sans"/>
          <w:sz w:val="16"/>
          <w:szCs w:val="16"/>
        </w:rPr>
        <w:t>“More Than One in Five US Adults Experienced Food Insecurity in the Early Weeks of the Pandemic</w:t>
      </w:r>
      <w:r w:rsidR="00B062FA">
        <w:rPr>
          <w:rFonts w:ascii="Open Sans" w:hAnsi="Open Sans" w:cs="Open Sans"/>
          <w:sz w:val="16"/>
          <w:szCs w:val="16"/>
        </w:rPr>
        <w:t>.</w:t>
      </w:r>
      <w:r w:rsidRPr="00B062FA">
        <w:rPr>
          <w:rFonts w:ascii="Open Sans" w:hAnsi="Open Sans" w:cs="Open Sans"/>
          <w:sz w:val="16"/>
          <w:szCs w:val="16"/>
        </w:rPr>
        <w:t>”</w:t>
      </w:r>
      <w:r w:rsidR="00B062FA">
        <w:rPr>
          <w:rFonts w:ascii="Open Sans" w:hAnsi="Open Sans" w:cs="Open Sans"/>
          <w:sz w:val="16"/>
          <w:szCs w:val="16"/>
        </w:rPr>
        <w:t xml:space="preserve"> </w:t>
      </w:r>
      <w:hyperlink r:id="rId21" w:history="1">
        <w:r w:rsidRPr="00B062FA">
          <w:rPr>
            <w:rStyle w:val="Hyperlink"/>
            <w:rFonts w:ascii="Open Sans" w:hAnsi="Open Sans" w:cs="Open Sans"/>
            <w:color w:val="C00000"/>
            <w:sz w:val="16"/>
            <w:szCs w:val="16"/>
          </w:rPr>
          <w:t>https://www.urban.org/urban-wire/more-one-five-us-adults-experienced-food-insecurity-early-weeks-pandemic</w:t>
        </w:r>
      </w:hyperlink>
    </w:p>
  </w:footnote>
  <w:footnote w:id="24">
    <w:p w14:paraId="6F10ADCF" w14:textId="58C7E3C4" w:rsidR="00D56DD5" w:rsidRPr="00B062FA" w:rsidRDefault="00D56DD5" w:rsidP="00D56DD5">
      <w:pPr>
        <w:pStyle w:val="FootnoteText"/>
        <w:rPr>
          <w:rFonts w:ascii="Open Sans" w:hAnsi="Open Sans" w:cs="Open Sans"/>
          <w:sz w:val="16"/>
          <w:szCs w:val="16"/>
        </w:rPr>
      </w:pPr>
      <w:r w:rsidRPr="00B062FA">
        <w:rPr>
          <w:rStyle w:val="FootnoteReference"/>
          <w:rFonts w:ascii="Open Sans" w:hAnsi="Open Sans" w:cs="Open Sans"/>
          <w:sz w:val="16"/>
          <w:szCs w:val="16"/>
        </w:rPr>
        <w:footnoteRef/>
      </w:r>
      <w:r w:rsidRPr="00B062FA">
        <w:rPr>
          <w:rFonts w:ascii="Open Sans" w:hAnsi="Open Sans" w:cs="Open Sans"/>
          <w:sz w:val="16"/>
          <w:szCs w:val="16"/>
        </w:rPr>
        <w:t xml:space="preserve"> </w:t>
      </w:r>
      <w:r w:rsidR="00B062FA" w:rsidRPr="00B062FA">
        <w:rPr>
          <w:rFonts w:ascii="Open Sans" w:hAnsi="Open Sans" w:cs="Open Sans"/>
          <w:sz w:val="16"/>
          <w:szCs w:val="16"/>
        </w:rPr>
        <w:t xml:space="preserve">Center on Budget and Policy Priorities. </w:t>
      </w:r>
      <w:r w:rsidRPr="00B062FA">
        <w:rPr>
          <w:rFonts w:ascii="Open Sans" w:hAnsi="Open Sans" w:cs="Open Sans"/>
          <w:sz w:val="16"/>
          <w:szCs w:val="16"/>
        </w:rPr>
        <w:t>“SNAP Is Responding to Increased Need, Early Evidence Shows</w:t>
      </w:r>
      <w:r w:rsidR="00B062FA" w:rsidRPr="00B062FA">
        <w:rPr>
          <w:rFonts w:ascii="Open Sans" w:hAnsi="Open Sans" w:cs="Open Sans"/>
          <w:sz w:val="16"/>
          <w:szCs w:val="16"/>
        </w:rPr>
        <w:t>.</w:t>
      </w:r>
      <w:r w:rsidRPr="00B062FA">
        <w:rPr>
          <w:rFonts w:ascii="Open Sans" w:hAnsi="Open Sans" w:cs="Open Sans"/>
          <w:sz w:val="16"/>
          <w:szCs w:val="16"/>
        </w:rPr>
        <w:t xml:space="preserve">” </w:t>
      </w:r>
      <w:hyperlink r:id="rId22" w:history="1">
        <w:r w:rsidRPr="00B062FA">
          <w:rPr>
            <w:rStyle w:val="Hyperlink"/>
            <w:rFonts w:ascii="Open Sans" w:hAnsi="Open Sans" w:cs="Open Sans"/>
            <w:color w:val="C00000"/>
            <w:sz w:val="16"/>
            <w:szCs w:val="16"/>
          </w:rPr>
          <w:t>https://www.cbpp.org/blog/snap-is-responding-to-increased-need-early-evidence-shows</w:t>
        </w:r>
      </w:hyperlink>
    </w:p>
  </w:footnote>
  <w:footnote w:id="25">
    <w:p w14:paraId="6DE8BFD4" w14:textId="72077B05" w:rsidR="00D56DD5" w:rsidRPr="00B062FA" w:rsidRDefault="00D56DD5" w:rsidP="00D56DD5">
      <w:pPr>
        <w:pStyle w:val="FootnoteText"/>
        <w:rPr>
          <w:rFonts w:ascii="Open Sans" w:hAnsi="Open Sans" w:cs="Open Sans"/>
          <w:sz w:val="16"/>
          <w:szCs w:val="16"/>
        </w:rPr>
      </w:pPr>
      <w:r w:rsidRPr="00B062FA">
        <w:rPr>
          <w:rStyle w:val="FootnoteReference"/>
          <w:rFonts w:ascii="Open Sans" w:hAnsi="Open Sans" w:cs="Open Sans"/>
          <w:sz w:val="16"/>
          <w:szCs w:val="16"/>
        </w:rPr>
        <w:footnoteRef/>
      </w:r>
      <w:r w:rsidRPr="00B062FA">
        <w:rPr>
          <w:rFonts w:ascii="Open Sans" w:hAnsi="Open Sans" w:cs="Open Sans"/>
          <w:sz w:val="16"/>
          <w:szCs w:val="16"/>
        </w:rPr>
        <w:t xml:space="preserve"> </w:t>
      </w:r>
      <w:r w:rsidR="00B062FA" w:rsidRPr="00B062FA">
        <w:rPr>
          <w:rFonts w:ascii="Open Sans" w:hAnsi="Open Sans" w:cs="Open Sans"/>
          <w:sz w:val="16"/>
          <w:szCs w:val="16"/>
        </w:rPr>
        <w:t>U.S. Bureau of Labor Statistics</w:t>
      </w:r>
      <w:r w:rsidR="00B062FA">
        <w:rPr>
          <w:rFonts w:ascii="Open Sans" w:hAnsi="Open Sans" w:cs="Open Sans"/>
          <w:sz w:val="16"/>
          <w:szCs w:val="16"/>
        </w:rPr>
        <w:t>.</w:t>
      </w:r>
      <w:r w:rsidR="00B062FA" w:rsidRPr="00B062FA">
        <w:rPr>
          <w:rFonts w:ascii="Open Sans" w:hAnsi="Open Sans" w:cs="Open Sans"/>
          <w:sz w:val="16"/>
          <w:szCs w:val="16"/>
        </w:rPr>
        <w:t xml:space="preserve"> </w:t>
      </w:r>
      <w:r w:rsidRPr="00B062FA">
        <w:rPr>
          <w:rFonts w:ascii="Open Sans" w:hAnsi="Open Sans" w:cs="Open Sans"/>
          <w:sz w:val="16"/>
          <w:szCs w:val="16"/>
        </w:rPr>
        <w:t>“The Employment Situation — April 2020</w:t>
      </w:r>
      <w:r w:rsidR="00B062FA">
        <w:rPr>
          <w:rFonts w:ascii="Open Sans" w:hAnsi="Open Sans" w:cs="Open Sans"/>
          <w:sz w:val="16"/>
          <w:szCs w:val="16"/>
        </w:rPr>
        <w:t>.</w:t>
      </w:r>
      <w:r w:rsidRPr="00B062FA">
        <w:rPr>
          <w:rFonts w:ascii="Open Sans" w:hAnsi="Open Sans" w:cs="Open Sans"/>
          <w:sz w:val="16"/>
          <w:szCs w:val="16"/>
        </w:rPr>
        <w:t>”</w:t>
      </w:r>
      <w:r w:rsidR="00B062FA">
        <w:rPr>
          <w:rFonts w:ascii="Open Sans" w:hAnsi="Open Sans" w:cs="Open Sans"/>
          <w:sz w:val="16"/>
          <w:szCs w:val="16"/>
        </w:rPr>
        <w:t xml:space="preserve"> </w:t>
      </w:r>
      <w:hyperlink r:id="rId23" w:history="1">
        <w:r w:rsidR="00B062FA" w:rsidRPr="00C42F70">
          <w:rPr>
            <w:rStyle w:val="Hyperlink"/>
            <w:rFonts w:ascii="Open Sans" w:hAnsi="Open Sans" w:cs="Open Sans"/>
            <w:sz w:val="16"/>
            <w:szCs w:val="16"/>
          </w:rPr>
          <w:t>https://www.bls.gov/news.release/pdf/empsit.pdf</w:t>
        </w:r>
      </w:hyperlink>
    </w:p>
  </w:footnote>
  <w:footnote w:id="26">
    <w:p w14:paraId="15141BEF" w14:textId="698596DA" w:rsidR="00D56DD5" w:rsidRPr="00B062FA" w:rsidRDefault="00D56DD5" w:rsidP="00D56DD5">
      <w:pPr>
        <w:pStyle w:val="FootnoteText"/>
        <w:rPr>
          <w:rFonts w:ascii="Open Sans" w:hAnsi="Open Sans" w:cs="Open Sans"/>
          <w:color w:val="C00000"/>
          <w:sz w:val="16"/>
          <w:szCs w:val="16"/>
        </w:rPr>
      </w:pPr>
      <w:r w:rsidRPr="00B062FA">
        <w:rPr>
          <w:rStyle w:val="FootnoteReference"/>
          <w:rFonts w:ascii="Open Sans" w:hAnsi="Open Sans" w:cs="Open Sans"/>
          <w:sz w:val="16"/>
          <w:szCs w:val="16"/>
        </w:rPr>
        <w:footnoteRef/>
      </w:r>
      <w:r w:rsidRPr="00B062FA">
        <w:rPr>
          <w:rFonts w:ascii="Open Sans" w:hAnsi="Open Sans" w:cs="Open Sans"/>
          <w:sz w:val="16"/>
          <w:szCs w:val="16"/>
        </w:rPr>
        <w:t xml:space="preserve"> </w:t>
      </w:r>
      <w:r w:rsidR="00B062FA" w:rsidRPr="00B062FA">
        <w:rPr>
          <w:rFonts w:ascii="Open Sans" w:hAnsi="Open Sans" w:cs="Open Sans"/>
          <w:sz w:val="16"/>
          <w:szCs w:val="16"/>
        </w:rPr>
        <w:t>U.S. Bureau of Labor Statistics</w:t>
      </w:r>
      <w:r w:rsidR="00B062FA">
        <w:rPr>
          <w:rFonts w:ascii="Open Sans" w:hAnsi="Open Sans" w:cs="Open Sans"/>
          <w:sz w:val="16"/>
          <w:szCs w:val="16"/>
        </w:rPr>
        <w:t xml:space="preserve">. </w:t>
      </w:r>
      <w:r w:rsidRPr="00B062FA">
        <w:rPr>
          <w:rFonts w:ascii="Open Sans" w:hAnsi="Open Sans" w:cs="Open Sans"/>
          <w:sz w:val="16"/>
          <w:szCs w:val="16"/>
        </w:rPr>
        <w:t>“The Employment Situation — May 2020</w:t>
      </w:r>
      <w:r w:rsidR="00B062FA">
        <w:rPr>
          <w:rFonts w:ascii="Open Sans" w:hAnsi="Open Sans" w:cs="Open Sans"/>
          <w:sz w:val="16"/>
          <w:szCs w:val="16"/>
        </w:rPr>
        <w:t>.</w:t>
      </w:r>
      <w:r w:rsidRPr="00B062FA">
        <w:rPr>
          <w:rFonts w:ascii="Open Sans" w:hAnsi="Open Sans" w:cs="Open Sans"/>
          <w:sz w:val="16"/>
          <w:szCs w:val="16"/>
        </w:rPr>
        <w:t xml:space="preserve">” </w:t>
      </w:r>
      <w:hyperlink r:id="rId24" w:history="1">
        <w:r w:rsidR="00B062FA" w:rsidRPr="00C42F70">
          <w:rPr>
            <w:rStyle w:val="Hyperlink"/>
            <w:rFonts w:ascii="Open Sans" w:hAnsi="Open Sans" w:cs="Open Sans"/>
            <w:sz w:val="16"/>
            <w:szCs w:val="16"/>
          </w:rPr>
          <w:t>https://www.bls.gov/news.release/pdf/empsit.pdf</w:t>
        </w:r>
      </w:hyperlink>
    </w:p>
  </w:footnote>
  <w:footnote w:id="27">
    <w:p w14:paraId="3F80534D" w14:textId="2F15FBDA" w:rsidR="00D56DD5" w:rsidRPr="00B062FA" w:rsidRDefault="00D56DD5" w:rsidP="00D56DD5">
      <w:pPr>
        <w:pStyle w:val="FootnoteText"/>
        <w:rPr>
          <w:rFonts w:ascii="Open Sans" w:hAnsi="Open Sans" w:cs="Open Sans"/>
          <w:sz w:val="16"/>
          <w:szCs w:val="16"/>
        </w:rPr>
      </w:pPr>
      <w:r w:rsidRPr="00B062FA">
        <w:rPr>
          <w:rStyle w:val="FootnoteReference"/>
          <w:rFonts w:ascii="Open Sans" w:hAnsi="Open Sans" w:cs="Open Sans"/>
          <w:sz w:val="16"/>
          <w:szCs w:val="16"/>
        </w:rPr>
        <w:footnoteRef/>
      </w:r>
      <w:r w:rsidRPr="00B062FA">
        <w:rPr>
          <w:rFonts w:ascii="Open Sans" w:hAnsi="Open Sans" w:cs="Open Sans"/>
          <w:sz w:val="16"/>
          <w:szCs w:val="16"/>
        </w:rPr>
        <w:t xml:space="preserve"> </w:t>
      </w:r>
      <w:r w:rsidR="00B062FA" w:rsidRPr="00B062FA">
        <w:rPr>
          <w:rFonts w:ascii="Open Sans" w:hAnsi="Open Sans" w:cs="Open Sans"/>
          <w:sz w:val="16"/>
          <w:szCs w:val="16"/>
        </w:rPr>
        <w:t>Urban Institute</w:t>
      </w:r>
      <w:r w:rsidR="00B062FA">
        <w:rPr>
          <w:rFonts w:ascii="Open Sans" w:hAnsi="Open Sans" w:cs="Open Sans"/>
          <w:sz w:val="16"/>
          <w:szCs w:val="16"/>
        </w:rPr>
        <w:t xml:space="preserve">. </w:t>
      </w:r>
      <w:r w:rsidRPr="00B062FA">
        <w:rPr>
          <w:rFonts w:ascii="Open Sans" w:hAnsi="Open Sans" w:cs="Open Sans"/>
          <w:sz w:val="16"/>
          <w:szCs w:val="16"/>
        </w:rPr>
        <w:t>“Parents Are Struggling to Provide for Their Families during the Pandemic: Material Hardships Greatest among Low-Income, Black, and Hispanic Parents</w:t>
      </w:r>
      <w:r w:rsidR="00B062FA">
        <w:rPr>
          <w:rFonts w:ascii="Open Sans" w:hAnsi="Open Sans" w:cs="Open Sans"/>
          <w:sz w:val="16"/>
          <w:szCs w:val="16"/>
        </w:rPr>
        <w:t>.</w:t>
      </w:r>
      <w:r w:rsidRPr="00B062FA">
        <w:rPr>
          <w:rFonts w:ascii="Open Sans" w:hAnsi="Open Sans" w:cs="Open Sans"/>
          <w:sz w:val="16"/>
          <w:szCs w:val="16"/>
        </w:rPr>
        <w:t xml:space="preserve">” </w:t>
      </w:r>
      <w:hyperlink r:id="rId25" w:history="1">
        <w:r w:rsidRPr="00B062FA">
          <w:rPr>
            <w:rStyle w:val="Hyperlink"/>
            <w:rFonts w:ascii="Open Sans" w:hAnsi="Open Sans" w:cs="Open Sans"/>
            <w:color w:val="C00000"/>
            <w:sz w:val="16"/>
            <w:szCs w:val="16"/>
          </w:rPr>
          <w:t>https://www.urban.org/research/publication/parents-are-struggling-provide-their-families-during-pandemic</w:t>
        </w:r>
      </w:hyperlink>
    </w:p>
  </w:footnote>
  <w:footnote w:id="28">
    <w:p w14:paraId="390882A5" w14:textId="3B1BB0C6" w:rsidR="00D56DD5" w:rsidRPr="00526180" w:rsidRDefault="00D56DD5" w:rsidP="00D56DD5">
      <w:pPr>
        <w:pStyle w:val="FootnoteText"/>
        <w:rPr>
          <w:rFonts w:ascii="Open Sans" w:hAnsi="Open Sans" w:cs="Open Sans"/>
          <w:sz w:val="16"/>
          <w:szCs w:val="16"/>
        </w:rPr>
      </w:pPr>
      <w:r w:rsidRPr="00B062FA">
        <w:rPr>
          <w:rStyle w:val="FootnoteReference"/>
          <w:rFonts w:ascii="Open Sans" w:hAnsi="Open Sans" w:cs="Open Sans"/>
          <w:sz w:val="16"/>
          <w:szCs w:val="16"/>
        </w:rPr>
        <w:footnoteRef/>
      </w:r>
      <w:r w:rsidRPr="00B062FA">
        <w:rPr>
          <w:rFonts w:ascii="Open Sans" w:hAnsi="Open Sans" w:cs="Open Sans"/>
          <w:sz w:val="16"/>
          <w:szCs w:val="16"/>
        </w:rPr>
        <w:t xml:space="preserve"> </w:t>
      </w:r>
      <w:r w:rsidR="00B062FA" w:rsidRPr="00B062FA">
        <w:rPr>
          <w:rFonts w:ascii="Open Sans" w:hAnsi="Open Sans" w:cs="Open Sans"/>
          <w:sz w:val="16"/>
          <w:szCs w:val="16"/>
        </w:rPr>
        <w:t xml:space="preserve">Feeding America. </w:t>
      </w:r>
      <w:r w:rsidRPr="00B062FA">
        <w:rPr>
          <w:rFonts w:ascii="Open Sans" w:hAnsi="Open Sans" w:cs="Open Sans"/>
          <w:sz w:val="16"/>
          <w:szCs w:val="16"/>
        </w:rPr>
        <w:t>“The Impact of the Coronavirus on Local Food Insecurity</w:t>
      </w:r>
      <w:r w:rsidR="00B062FA">
        <w:rPr>
          <w:rFonts w:ascii="Open Sans" w:hAnsi="Open Sans" w:cs="Open Sans"/>
          <w:sz w:val="16"/>
          <w:szCs w:val="16"/>
        </w:rPr>
        <w:t>.</w:t>
      </w:r>
      <w:r w:rsidRPr="00B062FA">
        <w:rPr>
          <w:rFonts w:ascii="Open Sans" w:hAnsi="Open Sans" w:cs="Open Sans"/>
          <w:sz w:val="16"/>
          <w:szCs w:val="16"/>
        </w:rPr>
        <w:t xml:space="preserve">” </w:t>
      </w:r>
      <w:hyperlink r:id="rId26" w:history="1">
        <w:r w:rsidRPr="00B062FA">
          <w:rPr>
            <w:rStyle w:val="Hyperlink"/>
            <w:rFonts w:ascii="Open Sans" w:hAnsi="Open Sans" w:cs="Open Sans"/>
            <w:color w:val="C00000"/>
            <w:sz w:val="16"/>
            <w:szCs w:val="16"/>
          </w:rPr>
          <w:t>https://www.feedingamerica.org/sites/default/files/2020-05/Brief_Local%20Impact_5.19.2020.pdf</w:t>
        </w:r>
      </w:hyperlink>
    </w:p>
  </w:footnote>
  <w:footnote w:id="29">
    <w:p w14:paraId="1688CD55" w14:textId="23BFCA2F" w:rsidR="00D56DD5" w:rsidRPr="00526180" w:rsidRDefault="00D56DD5" w:rsidP="00D56DD5">
      <w:pPr>
        <w:pStyle w:val="FootnoteText"/>
        <w:spacing w:line="276" w:lineRule="auto"/>
        <w:rPr>
          <w:rFonts w:ascii="Open Sans" w:eastAsia="Helvetica" w:hAnsi="Open Sans" w:cs="Open Sans"/>
          <w:color w:val="C00000"/>
          <w:sz w:val="16"/>
          <w:szCs w:val="16"/>
          <w:u w:val="single"/>
        </w:rPr>
      </w:pPr>
      <w:r w:rsidRPr="00526180">
        <w:rPr>
          <w:rStyle w:val="FootnoteReference"/>
          <w:rFonts w:ascii="Open Sans" w:eastAsia="Helvetica" w:hAnsi="Open Sans" w:cs="Open Sans"/>
          <w:sz w:val="16"/>
          <w:szCs w:val="16"/>
        </w:rPr>
        <w:footnoteRef/>
      </w:r>
      <w:r w:rsidRPr="00526180">
        <w:rPr>
          <w:rFonts w:ascii="Open Sans" w:eastAsia="Helvetica" w:hAnsi="Open Sans" w:cs="Open Sans"/>
          <w:sz w:val="16"/>
          <w:szCs w:val="16"/>
        </w:rPr>
        <w:t xml:space="preserve"> </w:t>
      </w:r>
      <w:r w:rsidR="00B062FA" w:rsidRPr="00526180">
        <w:rPr>
          <w:rFonts w:ascii="Open Sans" w:eastAsia="Helvetica" w:hAnsi="Open Sans" w:cs="Open Sans"/>
          <w:sz w:val="16"/>
          <w:szCs w:val="16"/>
        </w:rPr>
        <w:t>The Hamilton Project</w:t>
      </w:r>
      <w:r w:rsidRPr="00526180">
        <w:rPr>
          <w:rFonts w:ascii="Open Sans" w:eastAsia="Helvetica" w:hAnsi="Open Sans" w:cs="Open Sans"/>
          <w:sz w:val="16"/>
          <w:szCs w:val="16"/>
        </w:rPr>
        <w:t>. “Modernizing SNAP Benefits</w:t>
      </w:r>
      <w:r w:rsidR="00B062FA">
        <w:rPr>
          <w:rFonts w:ascii="Open Sans" w:eastAsia="Helvetica" w:hAnsi="Open Sans" w:cs="Open Sans"/>
          <w:sz w:val="16"/>
          <w:szCs w:val="16"/>
        </w:rPr>
        <w:t>.</w:t>
      </w:r>
      <w:r w:rsidRPr="00526180">
        <w:rPr>
          <w:rFonts w:ascii="Open Sans" w:eastAsia="Helvetica" w:hAnsi="Open Sans" w:cs="Open Sans"/>
          <w:sz w:val="16"/>
          <w:szCs w:val="16"/>
        </w:rPr>
        <w:t>”</w:t>
      </w:r>
      <w:r w:rsidR="00B062FA">
        <w:rPr>
          <w:rFonts w:ascii="Open Sans" w:eastAsia="Helvetica" w:hAnsi="Open Sans" w:cs="Open Sans"/>
          <w:sz w:val="16"/>
          <w:szCs w:val="16"/>
        </w:rPr>
        <w:t xml:space="preserve"> </w:t>
      </w:r>
      <w:hyperlink r:id="rId27" w:history="1">
        <w:r w:rsidRPr="00526180">
          <w:rPr>
            <w:rStyle w:val="Hyperlink"/>
            <w:rFonts w:ascii="Open Sans" w:eastAsia="Helvetica" w:hAnsi="Open Sans" w:cs="Open Sans"/>
            <w:color w:val="C00000"/>
            <w:sz w:val="16"/>
            <w:szCs w:val="16"/>
          </w:rPr>
          <w:t>http://www.hamiltonproject.org/papers/modernizing_snap_benefits</w:t>
        </w:r>
      </w:hyperlink>
    </w:p>
  </w:footnote>
  <w:footnote w:id="30">
    <w:p w14:paraId="193A041B" w14:textId="4DDA0E08" w:rsidR="00D56DD5" w:rsidRPr="00526180" w:rsidRDefault="00D56DD5" w:rsidP="00D56DD5">
      <w:pPr>
        <w:pStyle w:val="FootnoteText"/>
        <w:spacing w:line="276" w:lineRule="auto"/>
        <w:rPr>
          <w:rFonts w:ascii="Open Sans" w:eastAsia="Helvetica" w:hAnsi="Open Sans" w:cs="Open Sans"/>
          <w:color w:val="C00000"/>
          <w:sz w:val="16"/>
          <w:szCs w:val="16"/>
          <w:u w:val="single"/>
        </w:rPr>
      </w:pPr>
      <w:r w:rsidRPr="00526180">
        <w:rPr>
          <w:rStyle w:val="FootnoteReference"/>
          <w:rFonts w:ascii="Open Sans" w:eastAsia="Helvetica" w:hAnsi="Open Sans" w:cs="Open Sans"/>
          <w:sz w:val="16"/>
          <w:szCs w:val="16"/>
        </w:rPr>
        <w:footnoteRef/>
      </w:r>
      <w:r w:rsidRPr="00526180">
        <w:rPr>
          <w:rFonts w:ascii="Open Sans" w:eastAsia="Helvetica" w:hAnsi="Open Sans" w:cs="Open Sans"/>
          <w:sz w:val="16"/>
          <w:szCs w:val="16"/>
        </w:rPr>
        <w:t xml:space="preserve"> </w:t>
      </w:r>
      <w:r w:rsidR="00B062FA" w:rsidRPr="00B062FA">
        <w:rPr>
          <w:rFonts w:ascii="Open Sans" w:eastAsia="Helvetica" w:hAnsi="Open Sans" w:cs="Open Sans"/>
          <w:sz w:val="16"/>
          <w:szCs w:val="16"/>
        </w:rPr>
        <w:t>Center on Budget and Policy Priorities</w:t>
      </w:r>
      <w:r w:rsidRPr="00B062FA">
        <w:rPr>
          <w:rFonts w:ascii="Open Sans" w:eastAsia="Helvetica" w:hAnsi="Open Sans" w:cs="Open Sans"/>
          <w:sz w:val="16"/>
          <w:szCs w:val="16"/>
        </w:rPr>
        <w:t>.</w:t>
      </w:r>
      <w:r w:rsidRPr="00526180">
        <w:rPr>
          <w:rFonts w:ascii="Open Sans" w:eastAsia="Helvetica" w:hAnsi="Open Sans" w:cs="Open Sans"/>
          <w:sz w:val="16"/>
          <w:szCs w:val="16"/>
        </w:rPr>
        <w:t xml:space="preserve"> “The Relationships Among SNAP Benefits, Grocery Spending, Diet Quality, and the Adequacy of Low-Income Families’ Resources</w:t>
      </w:r>
      <w:r w:rsidR="00B062FA">
        <w:rPr>
          <w:rFonts w:ascii="Open Sans" w:eastAsia="Helvetica" w:hAnsi="Open Sans" w:cs="Open Sans"/>
          <w:sz w:val="16"/>
          <w:szCs w:val="16"/>
        </w:rPr>
        <w:t>.</w:t>
      </w:r>
      <w:r w:rsidRPr="00526180">
        <w:rPr>
          <w:rFonts w:ascii="Open Sans" w:eastAsia="Helvetica" w:hAnsi="Open Sans" w:cs="Open Sans"/>
          <w:sz w:val="16"/>
          <w:szCs w:val="16"/>
        </w:rPr>
        <w:t xml:space="preserve">” </w:t>
      </w:r>
      <w:hyperlink r:id="rId28" w:history="1">
        <w:r w:rsidRPr="00526180">
          <w:rPr>
            <w:rStyle w:val="Hyperlink"/>
            <w:rFonts w:ascii="Open Sans" w:eastAsia="Helvetica" w:hAnsi="Open Sans" w:cs="Open Sans"/>
            <w:color w:val="C00000"/>
            <w:sz w:val="16"/>
            <w:szCs w:val="16"/>
          </w:rPr>
          <w:t>http://www.cbpp.org/research/the-relationships-among-snap-benefits-grocery-spending-diet-quality-and-the-adequacy-of-low</w:t>
        </w:r>
      </w:hyperlink>
    </w:p>
  </w:footnote>
  <w:footnote w:id="31">
    <w:p w14:paraId="61BC4B8F" w14:textId="7D3C646B" w:rsidR="00D56DD5" w:rsidRPr="00526180" w:rsidRDefault="00D56DD5" w:rsidP="00D56DD5">
      <w:pPr>
        <w:pStyle w:val="FootnoteText"/>
        <w:rPr>
          <w:rFonts w:ascii="Open Sans" w:hAnsi="Open Sans" w:cs="Open Sans"/>
          <w:sz w:val="16"/>
          <w:szCs w:val="16"/>
        </w:rPr>
      </w:pPr>
      <w:r w:rsidRPr="00526180">
        <w:rPr>
          <w:rStyle w:val="FootnoteReference"/>
          <w:rFonts w:ascii="Open Sans" w:hAnsi="Open Sans" w:cs="Open Sans"/>
          <w:sz w:val="16"/>
          <w:szCs w:val="16"/>
        </w:rPr>
        <w:footnoteRef/>
      </w:r>
      <w:r w:rsidRPr="00526180">
        <w:rPr>
          <w:rFonts w:ascii="Open Sans" w:hAnsi="Open Sans" w:cs="Open Sans"/>
          <w:sz w:val="16"/>
          <w:szCs w:val="16"/>
        </w:rPr>
        <w:t xml:space="preserve"> </w:t>
      </w:r>
      <w:r w:rsidR="00B062FA" w:rsidRPr="00B062FA">
        <w:rPr>
          <w:rFonts w:ascii="Open Sans" w:eastAsia="Helvetica" w:hAnsi="Open Sans" w:cs="Open Sans"/>
          <w:sz w:val="16"/>
          <w:szCs w:val="16"/>
        </w:rPr>
        <w:t>Children’s Defense Fund</w:t>
      </w:r>
      <w:r w:rsidR="00B062FA" w:rsidRPr="00B062FA">
        <w:rPr>
          <w:rFonts w:ascii="Open Sans" w:eastAsia="Helvetica" w:hAnsi="Open Sans" w:cs="Open Sans"/>
          <w:sz w:val="16"/>
          <w:szCs w:val="16"/>
        </w:rPr>
        <w:t>.</w:t>
      </w:r>
      <w:r w:rsidR="00B062FA" w:rsidRPr="00526180">
        <w:rPr>
          <w:rFonts w:ascii="Open Sans" w:hAnsi="Open Sans" w:cs="Open Sans"/>
          <w:sz w:val="16"/>
          <w:szCs w:val="16"/>
        </w:rPr>
        <w:t xml:space="preserve"> </w:t>
      </w:r>
      <w:r w:rsidRPr="00526180">
        <w:rPr>
          <w:rFonts w:ascii="Open Sans" w:hAnsi="Open Sans" w:cs="Open Sans"/>
          <w:sz w:val="16"/>
          <w:szCs w:val="16"/>
        </w:rPr>
        <w:t>“</w:t>
      </w:r>
      <w:r w:rsidRPr="00526180">
        <w:rPr>
          <w:rFonts w:ascii="Open Sans" w:eastAsia="Helvetica" w:hAnsi="Open Sans" w:cs="Open Sans"/>
          <w:sz w:val="16"/>
          <w:szCs w:val="16"/>
        </w:rPr>
        <w:t xml:space="preserve">SNAP Must Be Strengthened to Fight Child Hunger During the Pandemic and Beyond,”. 2020. </w:t>
      </w:r>
      <w:hyperlink r:id="rId29" w:history="1">
        <w:r w:rsidRPr="00526180">
          <w:rPr>
            <w:rStyle w:val="Hyperlink"/>
            <w:rFonts w:ascii="Open Sans" w:eastAsia="Helvetica" w:hAnsi="Open Sans" w:cs="Open Sans"/>
            <w:color w:val="C00000"/>
            <w:sz w:val="16"/>
            <w:szCs w:val="16"/>
          </w:rPr>
          <w:t>https://www.childrensdefense.org/wp-content/uploads/2020/05/CDF-SNAP-Brief-May-2020.pdf</w:t>
        </w:r>
      </w:hyperlink>
      <w:r w:rsidRPr="00526180">
        <w:rPr>
          <w:rFonts w:ascii="Open Sans" w:eastAsia="Helvetica" w:hAnsi="Open Sans" w:cs="Open Sans"/>
          <w:color w:val="C00000"/>
          <w:sz w:val="16"/>
          <w:szCs w:val="16"/>
        </w:rPr>
        <w:t xml:space="preserve"> </w:t>
      </w:r>
    </w:p>
  </w:footnote>
  <w:footnote w:id="32">
    <w:p w14:paraId="0FAB9F4B" w14:textId="3CFEA7D9" w:rsidR="00D56DD5" w:rsidRPr="00526180" w:rsidRDefault="00D56DD5" w:rsidP="00D56DD5">
      <w:pPr>
        <w:pStyle w:val="FootnoteText"/>
        <w:spacing w:line="276" w:lineRule="auto"/>
        <w:rPr>
          <w:rFonts w:ascii="Open Sans" w:eastAsia="Helvetica" w:hAnsi="Open Sans" w:cs="Open Sans"/>
          <w:sz w:val="16"/>
          <w:szCs w:val="16"/>
        </w:rPr>
      </w:pPr>
      <w:r w:rsidRPr="00526180">
        <w:rPr>
          <w:rStyle w:val="FootnoteReference"/>
          <w:rFonts w:ascii="Open Sans" w:eastAsia="Helvetica" w:hAnsi="Open Sans" w:cs="Open Sans"/>
          <w:sz w:val="16"/>
          <w:szCs w:val="16"/>
        </w:rPr>
        <w:footnoteRef/>
      </w:r>
      <w:r w:rsidRPr="00526180">
        <w:rPr>
          <w:rFonts w:ascii="Open Sans" w:eastAsia="Helvetica" w:hAnsi="Open Sans" w:cs="Open Sans"/>
          <w:sz w:val="16"/>
          <w:szCs w:val="16"/>
        </w:rPr>
        <w:t xml:space="preserve"> </w:t>
      </w:r>
      <w:r w:rsidR="00B062FA" w:rsidRPr="00B062FA">
        <w:rPr>
          <w:rFonts w:ascii="Open Sans" w:eastAsia="Helvetica" w:hAnsi="Open Sans" w:cs="Open Sans"/>
          <w:sz w:val="16"/>
          <w:szCs w:val="16"/>
        </w:rPr>
        <w:t>Children’s Defense Fund.</w:t>
      </w:r>
      <w:r w:rsidR="00B062FA" w:rsidRPr="00526180">
        <w:rPr>
          <w:rFonts w:ascii="Open Sans" w:hAnsi="Open Sans" w:cs="Open Sans"/>
          <w:sz w:val="16"/>
          <w:szCs w:val="16"/>
        </w:rPr>
        <w:t xml:space="preserve"> </w:t>
      </w:r>
      <w:r w:rsidRPr="00526180">
        <w:rPr>
          <w:rFonts w:ascii="Open Sans" w:eastAsia="Helvetica" w:hAnsi="Open Sans" w:cs="Open Sans"/>
          <w:sz w:val="16"/>
          <w:szCs w:val="16"/>
        </w:rPr>
        <w:t>“Ending Child Poverty Now</w:t>
      </w:r>
      <w:r w:rsidR="00B062FA">
        <w:rPr>
          <w:rFonts w:ascii="Open Sans" w:eastAsia="Helvetica" w:hAnsi="Open Sans" w:cs="Open Sans"/>
          <w:sz w:val="16"/>
          <w:szCs w:val="16"/>
        </w:rPr>
        <w:t>.</w:t>
      </w:r>
      <w:r w:rsidRPr="00526180">
        <w:rPr>
          <w:rFonts w:ascii="Open Sans" w:eastAsia="Helvetica" w:hAnsi="Open Sans" w:cs="Open Sans"/>
          <w:sz w:val="16"/>
          <w:szCs w:val="16"/>
        </w:rPr>
        <w:t xml:space="preserve">” </w:t>
      </w:r>
      <w:hyperlink r:id="rId30" w:history="1">
        <w:r w:rsidRPr="00526180">
          <w:rPr>
            <w:rStyle w:val="Hyperlink"/>
            <w:rFonts w:ascii="Open Sans" w:eastAsia="Helvetica" w:hAnsi="Open Sans" w:cs="Open Sans"/>
            <w:color w:val="C00000"/>
            <w:sz w:val="16"/>
            <w:szCs w:val="16"/>
          </w:rPr>
          <w:t>https://www.childrensdefense.org/wp-content/uploads/2018/06/Ending-Child-Poverty-Now.pdf</w:t>
        </w:r>
      </w:hyperlink>
      <w:r w:rsidRPr="00526180">
        <w:rPr>
          <w:rFonts w:ascii="Open Sans" w:eastAsia="Helvetica" w:hAnsi="Open Sans" w:cs="Open Sans"/>
          <w:color w:val="C00000"/>
          <w:sz w:val="16"/>
          <w:szCs w:val="16"/>
        </w:rPr>
        <w:t xml:space="preserve"> </w:t>
      </w:r>
    </w:p>
  </w:footnote>
  <w:footnote w:id="33">
    <w:p w14:paraId="460ABAC4" w14:textId="0846E84B" w:rsidR="00D56DD5" w:rsidRPr="00526180" w:rsidRDefault="00D56DD5" w:rsidP="00D56DD5">
      <w:pPr>
        <w:pStyle w:val="FootnoteText"/>
        <w:spacing w:line="276" w:lineRule="auto"/>
        <w:rPr>
          <w:rFonts w:ascii="Open Sans" w:hAnsi="Open Sans" w:cs="Open Sans"/>
          <w:sz w:val="16"/>
          <w:szCs w:val="16"/>
        </w:rPr>
      </w:pPr>
      <w:r w:rsidRPr="00526180">
        <w:rPr>
          <w:rStyle w:val="FootnoteReference"/>
          <w:rFonts w:ascii="Open Sans" w:eastAsia="Helvetica" w:hAnsi="Open Sans" w:cs="Open Sans"/>
          <w:sz w:val="16"/>
          <w:szCs w:val="16"/>
        </w:rPr>
        <w:footnoteRef/>
      </w:r>
      <w:r w:rsidRPr="00526180">
        <w:rPr>
          <w:rFonts w:ascii="Open Sans" w:eastAsia="Helvetica" w:hAnsi="Open Sans" w:cs="Open Sans"/>
          <w:sz w:val="16"/>
          <w:szCs w:val="16"/>
        </w:rPr>
        <w:t xml:space="preserve"> </w:t>
      </w:r>
      <w:r w:rsidR="00B062FA" w:rsidRPr="00B062FA">
        <w:rPr>
          <w:rFonts w:ascii="Open Sans" w:eastAsia="Helvetica" w:hAnsi="Open Sans" w:cs="Open Sans"/>
          <w:sz w:val="16"/>
          <w:szCs w:val="16"/>
        </w:rPr>
        <w:t xml:space="preserve">United States Department of Agriculture Economic Research Service. </w:t>
      </w:r>
      <w:r w:rsidRPr="00B062FA">
        <w:rPr>
          <w:rFonts w:ascii="Open Sans" w:eastAsia="Helvetica" w:hAnsi="Open Sans" w:cs="Open Sans"/>
          <w:sz w:val="16"/>
          <w:szCs w:val="16"/>
        </w:rPr>
        <w:t>“</w:t>
      </w:r>
      <w:r w:rsidRPr="00526180">
        <w:rPr>
          <w:rFonts w:ascii="Open Sans" w:eastAsia="Helvetica" w:hAnsi="Open Sans" w:cs="Open Sans"/>
          <w:sz w:val="16"/>
          <w:szCs w:val="16"/>
        </w:rPr>
        <w:t>The Supplemental Nutrition Assistance Program (SNAP) and the Economy: New Estimates of the SNAP Multiplier</w:t>
      </w:r>
      <w:r w:rsidR="00B062FA">
        <w:rPr>
          <w:rFonts w:ascii="Open Sans" w:eastAsia="Helvetica" w:hAnsi="Open Sans" w:cs="Open Sans"/>
          <w:sz w:val="16"/>
          <w:szCs w:val="16"/>
        </w:rPr>
        <w:t>.</w:t>
      </w:r>
      <w:r w:rsidRPr="00526180">
        <w:rPr>
          <w:rFonts w:ascii="Open Sans" w:eastAsia="Helvetica" w:hAnsi="Open Sans" w:cs="Open Sans"/>
          <w:sz w:val="16"/>
          <w:szCs w:val="16"/>
        </w:rPr>
        <w:t xml:space="preserve">” </w:t>
      </w:r>
      <w:hyperlink r:id="rId31" w:history="1">
        <w:r w:rsidRPr="00526180">
          <w:rPr>
            <w:rStyle w:val="Hyperlink"/>
            <w:rFonts w:ascii="Open Sans" w:eastAsia="Helvetica" w:hAnsi="Open Sans" w:cs="Open Sans"/>
            <w:color w:val="C00000"/>
            <w:sz w:val="16"/>
            <w:szCs w:val="16"/>
          </w:rPr>
          <w:t>https://www.ers.usda.gov/topics/food-nutrition-assistance/supplemental-nutrition-assistance-program-snap/economic-linkages/</w:t>
        </w:r>
      </w:hyperlink>
      <w:r w:rsidRPr="00526180">
        <w:rPr>
          <w:rFonts w:ascii="Open Sans" w:hAnsi="Open Sans" w:cs="Open Sans"/>
          <w:sz w:val="16"/>
          <w:szCs w:val="16"/>
        </w:rPr>
        <w:br/>
      </w:r>
    </w:p>
  </w:footnote>
  <w:footnote w:id="34">
    <w:p w14:paraId="658A99B9" w14:textId="1D3E62F0" w:rsidR="00290AE0" w:rsidRPr="00526180" w:rsidRDefault="00290AE0">
      <w:pPr>
        <w:pStyle w:val="FootnoteText"/>
        <w:rPr>
          <w:rFonts w:ascii="Open Sans" w:hAnsi="Open Sans" w:cs="Open Sans"/>
          <w:sz w:val="16"/>
          <w:szCs w:val="16"/>
        </w:rPr>
      </w:pPr>
      <w:r w:rsidRPr="00526180">
        <w:rPr>
          <w:rStyle w:val="FootnoteReference"/>
          <w:rFonts w:ascii="Open Sans" w:hAnsi="Open Sans" w:cs="Open Sans"/>
          <w:sz w:val="16"/>
          <w:szCs w:val="16"/>
        </w:rPr>
        <w:footnoteRef/>
      </w:r>
      <w:r w:rsidRPr="00526180">
        <w:rPr>
          <w:rFonts w:ascii="Open Sans" w:hAnsi="Open Sans" w:cs="Open Sans"/>
          <w:sz w:val="16"/>
          <w:szCs w:val="16"/>
        </w:rPr>
        <w:t xml:space="preserve"> </w:t>
      </w:r>
      <w:r w:rsidR="00B062FA" w:rsidRPr="00526180">
        <w:rPr>
          <w:rFonts w:ascii="Open Sans" w:eastAsia="Helvetica" w:hAnsi="Open Sans" w:cs="Open Sans"/>
          <w:sz w:val="16"/>
          <w:szCs w:val="16"/>
        </w:rPr>
        <w:t>Center on Budget and Policy Priorities</w:t>
      </w:r>
      <w:r w:rsidR="005E1449" w:rsidRPr="00526180">
        <w:rPr>
          <w:rFonts w:ascii="Open Sans" w:eastAsia="Helvetica" w:hAnsi="Open Sans" w:cs="Open Sans"/>
          <w:sz w:val="16"/>
          <w:szCs w:val="16"/>
        </w:rPr>
        <w:t>. “3 Principles for an Anti-Racist, Equitable State Response to COVID-19 – and a Stronger Recovery</w:t>
      </w:r>
      <w:r w:rsidR="00B062FA">
        <w:rPr>
          <w:rFonts w:ascii="Open Sans" w:eastAsia="Helvetica" w:hAnsi="Open Sans" w:cs="Open Sans"/>
          <w:sz w:val="16"/>
          <w:szCs w:val="16"/>
        </w:rPr>
        <w:t>.</w:t>
      </w:r>
      <w:r w:rsidR="005E1449" w:rsidRPr="00526180">
        <w:rPr>
          <w:rFonts w:ascii="Open Sans" w:eastAsia="Helvetica" w:hAnsi="Open Sans" w:cs="Open Sans"/>
          <w:sz w:val="16"/>
          <w:szCs w:val="16"/>
        </w:rPr>
        <w:t xml:space="preserve">” </w:t>
      </w:r>
      <w:hyperlink r:id="rId32" w:history="1">
        <w:r w:rsidR="00F81403" w:rsidRPr="00526180">
          <w:rPr>
            <w:rStyle w:val="Hyperlink"/>
            <w:rFonts w:ascii="Open Sans" w:hAnsi="Open Sans" w:cs="Open Sans"/>
            <w:sz w:val="16"/>
            <w:szCs w:val="16"/>
          </w:rPr>
          <w:t>https://www.cbpp.org/sites/default/files/atoms/files/5-20-20sfp.pdf</w:t>
        </w:r>
      </w:hyperlink>
    </w:p>
  </w:footnote>
  <w:footnote w:id="35">
    <w:p w14:paraId="0C903402" w14:textId="44B3C88A" w:rsidR="00D56DD5" w:rsidRPr="00526180" w:rsidRDefault="00D56DD5" w:rsidP="00D56DD5">
      <w:pPr>
        <w:pStyle w:val="FootnoteText"/>
        <w:rPr>
          <w:rFonts w:ascii="Open Sans" w:hAnsi="Open Sans" w:cs="Open Sans"/>
          <w:sz w:val="16"/>
          <w:szCs w:val="16"/>
        </w:rPr>
      </w:pPr>
      <w:r w:rsidRPr="00526180">
        <w:rPr>
          <w:rStyle w:val="FootnoteReference"/>
          <w:rFonts w:ascii="Open Sans" w:hAnsi="Open Sans" w:cs="Open Sans"/>
          <w:sz w:val="16"/>
          <w:szCs w:val="16"/>
        </w:rPr>
        <w:footnoteRef/>
      </w:r>
      <w:r w:rsidRPr="00526180">
        <w:rPr>
          <w:rFonts w:ascii="Open Sans" w:hAnsi="Open Sans" w:cs="Open Sans"/>
          <w:sz w:val="16"/>
          <w:szCs w:val="16"/>
        </w:rPr>
        <w:t xml:space="preserve"> </w:t>
      </w:r>
      <w:r w:rsidR="006F3513" w:rsidRPr="006F3513">
        <w:rPr>
          <w:rFonts w:ascii="Open Sans" w:hAnsi="Open Sans" w:cs="Open Sans"/>
          <w:sz w:val="16"/>
          <w:szCs w:val="16"/>
        </w:rPr>
        <w:t xml:space="preserve">IRS. "EITC Fast Facts." Available at </w:t>
      </w:r>
      <w:hyperlink r:id="rId33" w:history="1">
        <w:r w:rsidR="006F3513" w:rsidRPr="00C42F70">
          <w:rPr>
            <w:rStyle w:val="Hyperlink"/>
            <w:rFonts w:ascii="Open Sans" w:hAnsi="Open Sans" w:cs="Open Sans"/>
            <w:sz w:val="16"/>
            <w:szCs w:val="16"/>
          </w:rPr>
          <w:t>https://www.eitc.irs.gov/partner-toolkit/basic-marketing-communication-materials/eitc-fast-facts/eitc-fast-facts</w:t>
        </w:r>
      </w:hyperlink>
      <w:r w:rsidR="006F3513">
        <w:rPr>
          <w:rFonts w:ascii="Open Sans" w:hAnsi="Open Sans" w:cs="Open Sans"/>
          <w:sz w:val="16"/>
          <w:szCs w:val="16"/>
        </w:rPr>
        <w:t xml:space="preserve"> </w:t>
      </w:r>
    </w:p>
  </w:footnote>
  <w:footnote w:id="36">
    <w:p w14:paraId="3F13D88A" w14:textId="77777777" w:rsidR="00E76AD6" w:rsidRPr="00526180" w:rsidRDefault="00E76AD6" w:rsidP="00E76AD6">
      <w:pPr>
        <w:pStyle w:val="FootnoteText"/>
        <w:rPr>
          <w:rFonts w:ascii="Open Sans" w:hAnsi="Open Sans" w:cs="Open Sans"/>
          <w:sz w:val="16"/>
          <w:szCs w:val="16"/>
        </w:rPr>
      </w:pPr>
      <w:r w:rsidRPr="00526180">
        <w:rPr>
          <w:rStyle w:val="FootnoteReference"/>
          <w:rFonts w:ascii="Open Sans" w:hAnsi="Open Sans" w:cs="Open Sans"/>
          <w:sz w:val="16"/>
          <w:szCs w:val="16"/>
        </w:rPr>
        <w:footnoteRef/>
      </w:r>
      <w:r w:rsidRPr="00526180">
        <w:rPr>
          <w:rFonts w:ascii="Open Sans" w:hAnsi="Open Sans" w:cs="Open Sans"/>
          <w:sz w:val="16"/>
          <w:szCs w:val="16"/>
        </w:rPr>
        <w:t xml:space="preserve"> U.S. Census Bureau. “The Supplemental Poverty Measure: 2018.” October 7, 2019. Accessed 5 June 2020. </w:t>
      </w:r>
      <w:hyperlink r:id="rId34">
        <w:r w:rsidRPr="00526180">
          <w:rPr>
            <w:rStyle w:val="Hyperlink"/>
            <w:rFonts w:ascii="Open Sans" w:hAnsi="Open Sans" w:cs="Open Sans"/>
            <w:sz w:val="16"/>
            <w:szCs w:val="16"/>
          </w:rPr>
          <w:t xml:space="preserve">https://www.census.gov/library/publications/2019/demo/p60-268.html </w:t>
        </w:r>
      </w:hyperlink>
    </w:p>
  </w:footnote>
  <w:footnote w:id="37">
    <w:p w14:paraId="1327F31E" w14:textId="77777777" w:rsidR="00D56DD5" w:rsidRPr="00526180" w:rsidRDefault="00D56DD5" w:rsidP="00D56DD5">
      <w:pPr>
        <w:pStyle w:val="FootnoteText"/>
        <w:rPr>
          <w:rFonts w:ascii="Open Sans" w:hAnsi="Open Sans" w:cs="Open Sans"/>
          <w:sz w:val="16"/>
          <w:szCs w:val="16"/>
        </w:rPr>
      </w:pPr>
      <w:r w:rsidRPr="00526180">
        <w:rPr>
          <w:rStyle w:val="FootnoteReference"/>
          <w:rFonts w:ascii="Open Sans" w:hAnsi="Open Sans" w:cs="Open Sans"/>
          <w:sz w:val="16"/>
          <w:szCs w:val="16"/>
        </w:rPr>
        <w:footnoteRef/>
      </w:r>
      <w:r w:rsidRPr="00526180">
        <w:rPr>
          <w:rFonts w:ascii="Open Sans" w:hAnsi="Open Sans" w:cs="Open Sans"/>
          <w:sz w:val="16"/>
          <w:szCs w:val="16"/>
        </w:rPr>
        <w:t xml:space="preserve"> Tax Policy Center (TPC): </w:t>
      </w:r>
      <w:hyperlink r:id="rId35" w:history="1">
        <w:r w:rsidRPr="00526180">
          <w:rPr>
            <w:rStyle w:val="Hyperlink"/>
            <w:rFonts w:ascii="Open Sans" w:hAnsi="Open Sans" w:cs="Open Sans"/>
            <w:color w:val="C00000"/>
            <w:sz w:val="16"/>
            <w:szCs w:val="16"/>
          </w:rPr>
          <w:t>http://www.taxpolicycenter.org/briefing-book/key-elements/family/eitc.cfm</w:t>
        </w:r>
      </w:hyperlink>
    </w:p>
  </w:footnote>
  <w:footnote w:id="38">
    <w:p w14:paraId="7EA676D3" w14:textId="53AD8DE6" w:rsidR="00D56DD5" w:rsidRPr="00526180" w:rsidRDefault="00D56DD5" w:rsidP="00D56DD5">
      <w:pPr>
        <w:pStyle w:val="FootnoteText"/>
        <w:rPr>
          <w:rFonts w:ascii="Open Sans" w:hAnsi="Open Sans" w:cs="Open Sans"/>
          <w:sz w:val="16"/>
          <w:szCs w:val="16"/>
        </w:rPr>
      </w:pPr>
      <w:r w:rsidRPr="00526180">
        <w:rPr>
          <w:rStyle w:val="FootnoteReference"/>
          <w:rFonts w:ascii="Open Sans" w:hAnsi="Open Sans" w:cs="Open Sans"/>
          <w:sz w:val="16"/>
          <w:szCs w:val="16"/>
        </w:rPr>
        <w:footnoteRef/>
      </w:r>
      <w:r w:rsidRPr="00526180">
        <w:rPr>
          <w:rFonts w:ascii="Open Sans" w:hAnsi="Open Sans" w:cs="Open Sans"/>
          <w:sz w:val="16"/>
          <w:szCs w:val="16"/>
        </w:rPr>
        <w:t xml:space="preserve"> Tax Policy Center (TPC)</w:t>
      </w:r>
      <w:r w:rsidR="00DF72ED" w:rsidRPr="00526180">
        <w:rPr>
          <w:rFonts w:ascii="Open Sans" w:hAnsi="Open Sans" w:cs="Open Sans"/>
          <w:sz w:val="16"/>
          <w:szCs w:val="16"/>
        </w:rPr>
        <w:t xml:space="preserve">. </w:t>
      </w:r>
      <w:r w:rsidR="00425B52">
        <w:rPr>
          <w:rFonts w:ascii="Open Sans" w:hAnsi="Open Sans" w:cs="Open Sans"/>
          <w:sz w:val="16"/>
          <w:szCs w:val="16"/>
        </w:rPr>
        <w:t>“</w:t>
      </w:r>
      <w:r w:rsidR="00E90302" w:rsidRPr="00526180">
        <w:rPr>
          <w:rFonts w:ascii="Open Sans" w:hAnsi="Open Sans" w:cs="Open Sans"/>
          <w:sz w:val="16"/>
          <w:szCs w:val="16"/>
        </w:rPr>
        <w:t>Tax Policy Center Briefing Book: Key Elements of the U.S. Tax System</w:t>
      </w:r>
      <w:r w:rsidR="00D831A3" w:rsidRPr="00526180">
        <w:rPr>
          <w:rFonts w:ascii="Open Sans" w:hAnsi="Open Sans" w:cs="Open Sans"/>
          <w:sz w:val="16"/>
          <w:szCs w:val="16"/>
        </w:rPr>
        <w:t xml:space="preserve">: Taxes and the Poor.” Accessed 5 June 2020. </w:t>
      </w:r>
      <w:hyperlink r:id="rId36" w:history="1">
        <w:r w:rsidRPr="00526180">
          <w:rPr>
            <w:rStyle w:val="Hyperlink"/>
            <w:rFonts w:ascii="Open Sans" w:hAnsi="Open Sans" w:cs="Open Sans"/>
            <w:sz w:val="16"/>
            <w:szCs w:val="16"/>
          </w:rPr>
          <w:t>https://www.taxpolicycenter.org/briefing-book/how-does-earned-income-tax-credit-affect-poor-families</w:t>
        </w:r>
      </w:hyperlink>
    </w:p>
  </w:footnote>
  <w:footnote w:id="39">
    <w:p w14:paraId="53296DF1" w14:textId="2C0B49F1" w:rsidR="00D56DD5" w:rsidRPr="00526180" w:rsidRDefault="00D56DD5" w:rsidP="00D56DD5">
      <w:pPr>
        <w:pStyle w:val="FootnoteText"/>
        <w:rPr>
          <w:rFonts w:ascii="Open Sans" w:hAnsi="Open Sans" w:cs="Open Sans"/>
          <w:sz w:val="16"/>
          <w:szCs w:val="16"/>
        </w:rPr>
      </w:pPr>
      <w:r w:rsidRPr="00526180">
        <w:rPr>
          <w:rStyle w:val="FootnoteReference"/>
          <w:rFonts w:ascii="Open Sans" w:hAnsi="Open Sans" w:cs="Open Sans"/>
          <w:sz w:val="16"/>
          <w:szCs w:val="16"/>
        </w:rPr>
        <w:footnoteRef/>
      </w:r>
      <w:r w:rsidRPr="00526180">
        <w:rPr>
          <w:rFonts w:ascii="Open Sans" w:hAnsi="Open Sans" w:cs="Open Sans"/>
          <w:sz w:val="16"/>
          <w:szCs w:val="16"/>
        </w:rPr>
        <w:t xml:space="preserve"> </w:t>
      </w:r>
      <w:r w:rsidR="001A7A57" w:rsidRPr="00526180">
        <w:rPr>
          <w:rFonts w:ascii="Open Sans" w:hAnsi="Open Sans" w:cs="Open Sans"/>
          <w:sz w:val="16"/>
          <w:szCs w:val="16"/>
        </w:rPr>
        <w:t>Center for American Progress (CAP)</w:t>
      </w:r>
      <w:r w:rsidR="00425B52">
        <w:rPr>
          <w:rFonts w:ascii="Open Sans" w:hAnsi="Open Sans" w:cs="Open Sans"/>
          <w:sz w:val="16"/>
          <w:szCs w:val="16"/>
        </w:rPr>
        <w:t xml:space="preserve">. </w:t>
      </w:r>
      <w:r w:rsidR="00425B52" w:rsidRPr="00526180">
        <w:rPr>
          <w:rFonts w:ascii="Open Sans" w:hAnsi="Open Sans" w:cs="Open Sans"/>
          <w:sz w:val="16"/>
          <w:szCs w:val="16"/>
        </w:rPr>
        <w:t xml:space="preserve">“Harnessing the EITC and Other Tax Credits </w:t>
      </w:r>
      <w:proofErr w:type="spellStart"/>
      <w:proofErr w:type="gramStart"/>
      <w:r w:rsidR="00425B52" w:rsidRPr="00526180">
        <w:rPr>
          <w:rFonts w:ascii="Open Sans" w:hAnsi="Open Sans" w:cs="Open Sans"/>
          <w:sz w:val="16"/>
          <w:szCs w:val="16"/>
        </w:rPr>
        <w:t>o</w:t>
      </w:r>
      <w:proofErr w:type="spellEnd"/>
      <w:proofErr w:type="gramEnd"/>
      <w:r w:rsidR="00425B52" w:rsidRPr="00526180">
        <w:rPr>
          <w:rFonts w:ascii="Open Sans" w:hAnsi="Open Sans" w:cs="Open Sans"/>
          <w:sz w:val="16"/>
          <w:szCs w:val="16"/>
        </w:rPr>
        <w:t xml:space="preserve"> Promote Financial Stability and Economic Mobility.”</w:t>
      </w:r>
      <w:r w:rsidR="001A7A57" w:rsidRPr="00526180">
        <w:rPr>
          <w:rFonts w:ascii="Open Sans" w:hAnsi="Open Sans" w:cs="Open Sans"/>
          <w:sz w:val="16"/>
          <w:szCs w:val="16"/>
        </w:rPr>
        <w:t xml:space="preserve">. </w:t>
      </w:r>
      <w:hyperlink r:id="rId37" w:history="1">
        <w:r w:rsidRPr="00526180">
          <w:rPr>
            <w:rStyle w:val="Hyperlink"/>
            <w:rFonts w:ascii="Open Sans" w:hAnsi="Open Sans" w:cs="Open Sans"/>
            <w:color w:val="C00000"/>
            <w:sz w:val="16"/>
            <w:szCs w:val="16"/>
          </w:rPr>
          <w:t>https://www.americanprogress.org/issues/poverty/report/2014/10/07/98452/harnessing-the-eitc-and-other-tax-credits-to-promote-financial-stability-and-economic-mobility/</w:t>
        </w:r>
      </w:hyperlink>
      <w:r w:rsidRPr="00526180">
        <w:rPr>
          <w:rFonts w:ascii="Open Sans" w:hAnsi="Open Sans" w:cs="Open Sans"/>
          <w:sz w:val="16"/>
          <w:szCs w:val="16"/>
        </w:rPr>
        <w:t xml:space="preserve"> </w:t>
      </w:r>
    </w:p>
  </w:footnote>
  <w:footnote w:id="40">
    <w:p w14:paraId="776BA8F7" w14:textId="013D26AE" w:rsidR="00D56DD5" w:rsidRPr="00526180" w:rsidRDefault="00D56DD5" w:rsidP="00D56DD5">
      <w:pPr>
        <w:pStyle w:val="FootnoteText"/>
        <w:rPr>
          <w:rFonts w:ascii="Open Sans" w:hAnsi="Open Sans" w:cs="Open Sans"/>
          <w:sz w:val="16"/>
          <w:szCs w:val="16"/>
        </w:rPr>
      </w:pPr>
      <w:r w:rsidRPr="00526180">
        <w:rPr>
          <w:rStyle w:val="FootnoteReference"/>
          <w:rFonts w:ascii="Open Sans" w:hAnsi="Open Sans" w:cs="Open Sans"/>
          <w:sz w:val="16"/>
          <w:szCs w:val="16"/>
        </w:rPr>
        <w:footnoteRef/>
      </w:r>
      <w:r w:rsidRPr="00526180">
        <w:rPr>
          <w:rFonts w:ascii="Open Sans" w:hAnsi="Open Sans" w:cs="Open Sans"/>
          <w:sz w:val="16"/>
          <w:szCs w:val="16"/>
        </w:rPr>
        <w:t xml:space="preserve"> </w:t>
      </w:r>
      <w:r w:rsidR="005F5F19" w:rsidRPr="00526180">
        <w:rPr>
          <w:rFonts w:ascii="Open Sans" w:hAnsi="Open Sans" w:cs="Open Sans"/>
          <w:sz w:val="16"/>
          <w:szCs w:val="16"/>
        </w:rPr>
        <w:t>Center on Budget and Policy Priorities</w:t>
      </w:r>
      <w:r w:rsidR="00F36DCB" w:rsidRPr="00526180">
        <w:rPr>
          <w:rFonts w:ascii="Open Sans" w:hAnsi="Open Sans" w:cs="Open Sans"/>
          <w:sz w:val="16"/>
          <w:szCs w:val="16"/>
        </w:rPr>
        <w:t xml:space="preserve">. “EITC and Child Tax Credit Promote Work, Reduce Poverty, and Support Children’s Development, Research Finds.” </w:t>
      </w:r>
      <w:hyperlink r:id="rId38" w:history="1">
        <w:r w:rsidRPr="00526180">
          <w:rPr>
            <w:rStyle w:val="Hyperlink"/>
            <w:rFonts w:ascii="Open Sans" w:hAnsi="Open Sans" w:cs="Open Sans"/>
            <w:color w:val="C00000"/>
            <w:sz w:val="16"/>
            <w:szCs w:val="16"/>
          </w:rPr>
          <w:t>http://www.cbpp.org/research/federal-tax/eitc-and-child-tax-credit-promote-work-reduce-poverty-and-support-childrens?fa=view&amp;id=3793</w:t>
        </w:r>
      </w:hyperlink>
      <w:r w:rsidRPr="00526180">
        <w:rPr>
          <w:rFonts w:ascii="Open Sans" w:hAnsi="Open Sans" w:cs="Open Sans"/>
          <w:noProof/>
          <w:color w:val="2F5496" w:themeColor="accent1" w:themeShade="BF"/>
          <w:sz w:val="16"/>
          <w:szCs w:val="16"/>
          <w:u w:val="single"/>
        </w:rPr>
        <w:t xml:space="preserve"> </w:t>
      </w:r>
    </w:p>
  </w:footnote>
  <w:footnote w:id="41">
    <w:p w14:paraId="2F3A4E11" w14:textId="21A93AD3" w:rsidR="0003514A" w:rsidRPr="00526180" w:rsidRDefault="0003514A">
      <w:pPr>
        <w:pStyle w:val="FootnoteText"/>
        <w:rPr>
          <w:rFonts w:ascii="Open Sans" w:hAnsi="Open Sans" w:cs="Open Sans"/>
          <w:sz w:val="16"/>
          <w:szCs w:val="16"/>
        </w:rPr>
      </w:pPr>
      <w:r w:rsidRPr="00526180">
        <w:rPr>
          <w:rStyle w:val="FootnoteReference"/>
          <w:rFonts w:ascii="Open Sans" w:hAnsi="Open Sans" w:cs="Open Sans"/>
          <w:sz w:val="16"/>
          <w:szCs w:val="16"/>
        </w:rPr>
        <w:footnoteRef/>
      </w:r>
      <w:r w:rsidRPr="00526180">
        <w:rPr>
          <w:rFonts w:ascii="Open Sans" w:hAnsi="Open Sans" w:cs="Open Sans"/>
          <w:sz w:val="16"/>
          <w:szCs w:val="16"/>
        </w:rPr>
        <w:t xml:space="preserve"> </w:t>
      </w:r>
      <w:r w:rsidR="006F15BC" w:rsidRPr="006F15BC">
        <w:rPr>
          <w:rFonts w:ascii="Open Sans" w:hAnsi="Open Sans" w:cs="Open Sans"/>
          <w:sz w:val="16"/>
          <w:szCs w:val="16"/>
        </w:rPr>
        <w:t xml:space="preserve">National Academies of Sciences, Engineering, and Medicine. “A Roadmap to Reducing Child Poverty.” </w:t>
      </w:r>
      <w:hyperlink r:id="rId39" w:history="1">
        <w:r w:rsidR="006F15BC" w:rsidRPr="00C42F70">
          <w:rPr>
            <w:rStyle w:val="Hyperlink"/>
            <w:rFonts w:ascii="Open Sans" w:hAnsi="Open Sans" w:cs="Open Sans"/>
            <w:sz w:val="16"/>
            <w:szCs w:val="16"/>
          </w:rPr>
          <w:t>https://doi.org/10.17226/25246</w:t>
        </w:r>
      </w:hyperlink>
      <w:r w:rsidR="006F15BC">
        <w:rPr>
          <w:rFonts w:ascii="Open Sans" w:hAnsi="Open Sans" w:cs="Open Sans"/>
          <w:sz w:val="16"/>
          <w:szCs w:val="16"/>
        </w:rPr>
        <w:t xml:space="preserve">. </w:t>
      </w:r>
    </w:p>
  </w:footnote>
  <w:footnote w:id="42">
    <w:p w14:paraId="783DF394" w14:textId="2BA557C3" w:rsidR="00D56DD5" w:rsidRPr="00526180" w:rsidRDefault="00D56DD5" w:rsidP="00A04594">
      <w:pPr>
        <w:pStyle w:val="FootnoteText"/>
        <w:rPr>
          <w:rFonts w:ascii="Open Sans" w:hAnsi="Open Sans" w:cs="Open Sans"/>
          <w:sz w:val="16"/>
          <w:szCs w:val="16"/>
        </w:rPr>
      </w:pPr>
      <w:r w:rsidRPr="00526180">
        <w:rPr>
          <w:rStyle w:val="FootnoteReference"/>
          <w:rFonts w:ascii="Open Sans" w:hAnsi="Open Sans" w:cs="Open Sans"/>
          <w:sz w:val="16"/>
          <w:szCs w:val="16"/>
        </w:rPr>
        <w:footnoteRef/>
      </w:r>
      <w:r w:rsidRPr="00526180">
        <w:rPr>
          <w:rFonts w:ascii="Open Sans" w:hAnsi="Open Sans" w:cs="Open Sans"/>
          <w:sz w:val="16"/>
          <w:szCs w:val="16"/>
        </w:rPr>
        <w:t xml:space="preserve"> </w:t>
      </w:r>
      <w:r w:rsidR="006F15BC" w:rsidRPr="00526180">
        <w:rPr>
          <w:rFonts w:ascii="Open Sans" w:hAnsi="Open Sans" w:cs="Open Sans"/>
          <w:sz w:val="16"/>
          <w:szCs w:val="16"/>
        </w:rPr>
        <w:t>The Institute on Taxation and Economic Policy</w:t>
      </w:r>
      <w:r w:rsidR="00A04594" w:rsidRPr="00526180">
        <w:rPr>
          <w:rFonts w:ascii="Open Sans" w:hAnsi="Open Sans" w:cs="Open Sans"/>
          <w:sz w:val="16"/>
          <w:szCs w:val="16"/>
        </w:rPr>
        <w:t xml:space="preserve">. </w:t>
      </w:r>
      <w:r w:rsidR="006B613E" w:rsidRPr="00526180">
        <w:rPr>
          <w:rFonts w:ascii="Open Sans" w:hAnsi="Open Sans" w:cs="Open Sans"/>
          <w:sz w:val="16"/>
          <w:szCs w:val="16"/>
        </w:rPr>
        <w:t>“The Case for Extending State-Level Child Tax Credits to Those Left Out: A 50-State Analysis.”</w:t>
      </w:r>
      <w:r w:rsidRPr="00526180">
        <w:rPr>
          <w:rFonts w:ascii="Open Sans" w:hAnsi="Open Sans" w:cs="Open Sans"/>
          <w:sz w:val="16"/>
          <w:szCs w:val="16"/>
        </w:rPr>
        <w:t xml:space="preserve"> </w:t>
      </w:r>
      <w:hyperlink r:id="rId40" w:history="1">
        <w:r w:rsidRPr="00526180">
          <w:rPr>
            <w:rFonts w:ascii="Open Sans" w:hAnsi="Open Sans" w:cs="Open Sans"/>
            <w:color w:val="0000FF"/>
            <w:sz w:val="16"/>
            <w:szCs w:val="16"/>
            <w:u w:val="single"/>
          </w:rPr>
          <w:t>https://itep.org/the-case-for-extending-state-level-child-tax-credits-to-those-left-out-a-50-state-analysis/</w:t>
        </w:r>
      </w:hyperlink>
    </w:p>
  </w:footnote>
  <w:footnote w:id="43">
    <w:p w14:paraId="7BB66BAC" w14:textId="167918F8" w:rsidR="00D56DD5" w:rsidRPr="00526180" w:rsidRDefault="00D56DD5" w:rsidP="00D56DD5">
      <w:pPr>
        <w:pStyle w:val="FootnoteText"/>
        <w:rPr>
          <w:rFonts w:ascii="Open Sans" w:hAnsi="Open Sans" w:cs="Open Sans"/>
          <w:sz w:val="16"/>
          <w:szCs w:val="16"/>
        </w:rPr>
      </w:pPr>
      <w:r w:rsidRPr="00526180">
        <w:rPr>
          <w:rStyle w:val="FootnoteReference"/>
          <w:rFonts w:ascii="Open Sans" w:hAnsi="Open Sans" w:cs="Open Sans"/>
          <w:sz w:val="16"/>
          <w:szCs w:val="16"/>
        </w:rPr>
        <w:footnoteRef/>
      </w:r>
      <w:r w:rsidRPr="00526180">
        <w:rPr>
          <w:rFonts w:ascii="Open Sans" w:hAnsi="Open Sans" w:cs="Open Sans"/>
          <w:sz w:val="16"/>
          <w:szCs w:val="16"/>
        </w:rPr>
        <w:t xml:space="preserve"> </w:t>
      </w:r>
      <w:r w:rsidR="006F15BC" w:rsidRPr="00526180">
        <w:rPr>
          <w:rFonts w:ascii="Open Sans" w:hAnsi="Open Sans" w:cs="Open Sans"/>
          <w:sz w:val="16"/>
          <w:szCs w:val="16"/>
        </w:rPr>
        <w:t>Tax Credits for Workers and Families</w:t>
      </w:r>
      <w:r w:rsidR="006F15BC">
        <w:rPr>
          <w:rFonts w:ascii="Open Sans" w:hAnsi="Open Sans" w:cs="Open Sans"/>
          <w:sz w:val="16"/>
          <w:szCs w:val="16"/>
        </w:rPr>
        <w:t xml:space="preserve">. </w:t>
      </w:r>
      <w:r w:rsidR="006F42CD" w:rsidRPr="00526180">
        <w:rPr>
          <w:rFonts w:ascii="Open Sans" w:hAnsi="Open Sans" w:cs="Open Sans"/>
          <w:sz w:val="16"/>
          <w:szCs w:val="16"/>
        </w:rPr>
        <w:t xml:space="preserve">“New Survey Sheds Light on How Workers Use the EITC.” </w:t>
      </w:r>
      <w:hyperlink r:id="rId41" w:history="1">
        <w:r w:rsidR="00B20B1C" w:rsidRPr="00526180">
          <w:rPr>
            <w:rStyle w:val="Hyperlink"/>
            <w:rFonts w:ascii="Open Sans" w:hAnsi="Open Sans" w:cs="Open Sans"/>
            <w:sz w:val="16"/>
            <w:szCs w:val="16"/>
          </w:rPr>
          <w:t>http://www.taxcreditsforworkersandfamilies.org/news/new-survey-sheds-light-on-how-workers-use-the-eitc/</w:t>
        </w:r>
      </w:hyperlink>
    </w:p>
  </w:footnote>
  <w:footnote w:id="44">
    <w:p w14:paraId="0A68EEF7" w14:textId="1DC12810" w:rsidR="00511F21" w:rsidRPr="00526180" w:rsidRDefault="00511F21">
      <w:pPr>
        <w:pStyle w:val="FootnoteText"/>
        <w:rPr>
          <w:rFonts w:ascii="Open Sans" w:hAnsi="Open Sans" w:cs="Open Sans"/>
          <w:sz w:val="16"/>
          <w:szCs w:val="16"/>
        </w:rPr>
      </w:pPr>
      <w:r w:rsidRPr="00526180">
        <w:rPr>
          <w:rStyle w:val="FootnoteReference"/>
          <w:rFonts w:ascii="Open Sans" w:hAnsi="Open Sans" w:cs="Open Sans"/>
          <w:sz w:val="16"/>
          <w:szCs w:val="16"/>
        </w:rPr>
        <w:footnoteRef/>
      </w:r>
      <w:r w:rsidRPr="00526180">
        <w:rPr>
          <w:rFonts w:ascii="Open Sans" w:hAnsi="Open Sans" w:cs="Open Sans"/>
          <w:sz w:val="16"/>
          <w:szCs w:val="16"/>
        </w:rPr>
        <w:t xml:space="preserve"> </w:t>
      </w:r>
      <w:r w:rsidR="006F15BC" w:rsidRPr="00526180">
        <w:rPr>
          <w:rFonts w:ascii="Open Sans" w:hAnsi="Open Sans" w:cs="Open Sans"/>
          <w:sz w:val="16"/>
          <w:szCs w:val="16"/>
        </w:rPr>
        <w:t>Center on Budget and Policy Priorities</w:t>
      </w:r>
      <w:r w:rsidR="006F15BC">
        <w:rPr>
          <w:rFonts w:ascii="Open Sans" w:hAnsi="Open Sans" w:cs="Open Sans"/>
          <w:sz w:val="16"/>
          <w:szCs w:val="16"/>
        </w:rPr>
        <w:t xml:space="preserve">. </w:t>
      </w:r>
      <w:r w:rsidRPr="00526180">
        <w:rPr>
          <w:rFonts w:ascii="Open Sans" w:hAnsi="Open Sans" w:cs="Open Sans"/>
          <w:sz w:val="16"/>
          <w:szCs w:val="16"/>
        </w:rPr>
        <w:t>“Temporarily Expanding Child Tax Credit and Earned Income Tax Credit Would Deliver Effective Stimulus, Help Avert Poverty Spike</w:t>
      </w:r>
      <w:r w:rsidR="006F15BC">
        <w:rPr>
          <w:rFonts w:ascii="Open Sans" w:hAnsi="Open Sans" w:cs="Open Sans"/>
          <w:sz w:val="16"/>
          <w:szCs w:val="16"/>
        </w:rPr>
        <w:t>.</w:t>
      </w:r>
      <w:r w:rsidRPr="00526180">
        <w:rPr>
          <w:rFonts w:ascii="Open Sans" w:hAnsi="Open Sans" w:cs="Open Sans"/>
          <w:sz w:val="16"/>
          <w:szCs w:val="16"/>
        </w:rPr>
        <w:t>”</w:t>
      </w:r>
      <w:r w:rsidR="006F15BC">
        <w:rPr>
          <w:rFonts w:ascii="Open Sans" w:hAnsi="Open Sans" w:cs="Open Sans"/>
          <w:sz w:val="16"/>
          <w:szCs w:val="16"/>
        </w:rPr>
        <w:t xml:space="preserve"> </w:t>
      </w:r>
      <w:hyperlink r:id="rId42" w:history="1">
        <w:r w:rsidRPr="00526180">
          <w:rPr>
            <w:rStyle w:val="Hyperlink"/>
            <w:rFonts w:ascii="Open Sans" w:hAnsi="Open Sans" w:cs="Open Sans"/>
            <w:sz w:val="16"/>
            <w:szCs w:val="16"/>
          </w:rPr>
          <w:t>https://www.cbpp.org/research/federal-tax/temporarily-expanding-child-tax-credit-and-earned-income-tax-credit-would</w:t>
        </w:r>
      </w:hyperlink>
      <w:r w:rsidRPr="00526180">
        <w:rPr>
          <w:rFonts w:ascii="Open Sans" w:hAnsi="Open Sans" w:cs="Open Sans"/>
          <w:sz w:val="16"/>
          <w:szCs w:val="16"/>
        </w:rPr>
        <w:t xml:space="preserve"> </w:t>
      </w:r>
    </w:p>
  </w:footnote>
  <w:footnote w:id="45">
    <w:p w14:paraId="2BCCF2BA" w14:textId="529B0953" w:rsidR="006162FD" w:rsidRPr="00526180" w:rsidRDefault="006162FD">
      <w:pPr>
        <w:pStyle w:val="FootnoteText"/>
        <w:rPr>
          <w:rFonts w:ascii="Open Sans" w:hAnsi="Open Sans" w:cs="Open Sans"/>
          <w:sz w:val="16"/>
          <w:szCs w:val="16"/>
        </w:rPr>
      </w:pPr>
      <w:r w:rsidRPr="00526180">
        <w:rPr>
          <w:rStyle w:val="FootnoteReference"/>
          <w:rFonts w:ascii="Open Sans" w:hAnsi="Open Sans" w:cs="Open Sans"/>
          <w:sz w:val="16"/>
          <w:szCs w:val="16"/>
        </w:rPr>
        <w:footnoteRef/>
      </w:r>
      <w:r w:rsidRPr="00526180">
        <w:rPr>
          <w:rFonts w:ascii="Open Sans" w:hAnsi="Open Sans" w:cs="Open Sans"/>
          <w:sz w:val="16"/>
          <w:szCs w:val="16"/>
        </w:rPr>
        <w:t xml:space="preserve"> </w:t>
      </w:r>
      <w:r w:rsidR="007C6A93" w:rsidRPr="00526180">
        <w:rPr>
          <w:rFonts w:ascii="Open Sans" w:hAnsi="Open Sans" w:cs="Open Sans"/>
          <w:sz w:val="16"/>
          <w:szCs w:val="16"/>
        </w:rPr>
        <w:t>Center on Budget and Policy Priorities</w:t>
      </w:r>
      <w:r w:rsidR="007C6A93">
        <w:rPr>
          <w:rFonts w:ascii="Open Sans" w:hAnsi="Open Sans" w:cs="Open Sans"/>
          <w:sz w:val="16"/>
          <w:szCs w:val="16"/>
        </w:rPr>
        <w:t xml:space="preserve">. </w:t>
      </w:r>
      <w:r w:rsidR="007C6A93" w:rsidRPr="00526180">
        <w:rPr>
          <w:rFonts w:ascii="Open Sans" w:hAnsi="Open Sans" w:cs="Open Sans"/>
          <w:sz w:val="16"/>
          <w:szCs w:val="16"/>
        </w:rPr>
        <w:t>“Temporarily Expanding Child Tax Credit and Earned Income Tax Credit Would Deliver Effective Stimulus, Help Avert Poverty Spike</w:t>
      </w:r>
      <w:r w:rsidR="007C6A93">
        <w:rPr>
          <w:rFonts w:ascii="Open Sans" w:hAnsi="Open Sans" w:cs="Open Sans"/>
          <w:sz w:val="16"/>
          <w:szCs w:val="16"/>
        </w:rPr>
        <w:t>.</w:t>
      </w:r>
      <w:r w:rsidR="007C6A93" w:rsidRPr="00526180">
        <w:rPr>
          <w:rFonts w:ascii="Open Sans" w:hAnsi="Open Sans" w:cs="Open Sans"/>
          <w:sz w:val="16"/>
          <w:szCs w:val="16"/>
        </w:rPr>
        <w:t>”</w:t>
      </w:r>
      <w:r w:rsidR="007C6A93">
        <w:rPr>
          <w:rFonts w:ascii="Open Sans" w:hAnsi="Open Sans" w:cs="Open Sans"/>
          <w:sz w:val="16"/>
          <w:szCs w:val="16"/>
        </w:rPr>
        <w:t xml:space="preserve"> </w:t>
      </w:r>
      <w:hyperlink r:id="rId43" w:history="1">
        <w:r w:rsidR="007C6A93" w:rsidRPr="00526180">
          <w:rPr>
            <w:rStyle w:val="Hyperlink"/>
            <w:rFonts w:ascii="Open Sans" w:hAnsi="Open Sans" w:cs="Open Sans"/>
            <w:sz w:val="16"/>
            <w:szCs w:val="16"/>
          </w:rPr>
          <w:t>https://www.cbpp.org/research/federal-tax/temporarily-expanding-child-tax-credit-and-earned-income-tax-credit-would</w:t>
        </w:r>
      </w:hyperlink>
    </w:p>
  </w:footnote>
  <w:footnote w:id="46">
    <w:p w14:paraId="22EB3A17" w14:textId="20E16B3F" w:rsidR="00551878" w:rsidRPr="00526180" w:rsidRDefault="00551878">
      <w:pPr>
        <w:pStyle w:val="FootnoteText"/>
        <w:rPr>
          <w:rFonts w:ascii="Open Sans" w:hAnsi="Open Sans" w:cs="Open Sans"/>
          <w:sz w:val="16"/>
          <w:szCs w:val="16"/>
        </w:rPr>
      </w:pPr>
      <w:r w:rsidRPr="00526180">
        <w:rPr>
          <w:rStyle w:val="FootnoteReference"/>
          <w:rFonts w:ascii="Open Sans" w:hAnsi="Open Sans" w:cs="Open Sans"/>
          <w:sz w:val="16"/>
          <w:szCs w:val="16"/>
        </w:rPr>
        <w:footnoteRef/>
      </w:r>
      <w:r w:rsidRPr="00526180">
        <w:rPr>
          <w:rFonts w:ascii="Open Sans" w:hAnsi="Open Sans" w:cs="Open Sans"/>
          <w:sz w:val="16"/>
          <w:szCs w:val="16"/>
        </w:rPr>
        <w:t xml:space="preserve"> </w:t>
      </w:r>
      <w:r w:rsidR="007C6A93" w:rsidRPr="00526180">
        <w:rPr>
          <w:rFonts w:ascii="Open Sans" w:hAnsi="Open Sans" w:cs="Open Sans"/>
          <w:sz w:val="16"/>
          <w:szCs w:val="16"/>
        </w:rPr>
        <w:t>Center on Budget and Policy Priorities</w:t>
      </w:r>
      <w:r w:rsidR="007C6A93">
        <w:rPr>
          <w:rFonts w:ascii="Open Sans" w:hAnsi="Open Sans" w:cs="Open Sans"/>
          <w:sz w:val="16"/>
          <w:szCs w:val="16"/>
        </w:rPr>
        <w:t>.</w:t>
      </w:r>
      <w:r w:rsidR="00C65EEA" w:rsidRPr="00526180">
        <w:rPr>
          <w:rFonts w:ascii="Open Sans" w:hAnsi="Open Sans" w:cs="Open Sans"/>
          <w:sz w:val="16"/>
          <w:szCs w:val="16"/>
        </w:rPr>
        <w:t xml:space="preserve"> “</w:t>
      </w:r>
      <w:r w:rsidR="00544B98" w:rsidRPr="00526180">
        <w:rPr>
          <w:rFonts w:ascii="Open Sans" w:hAnsi="Open Sans" w:cs="Open Sans"/>
          <w:sz w:val="16"/>
          <w:szCs w:val="16"/>
        </w:rPr>
        <w:t>How the Federal Tax Code Can Better Advance Racial Equity</w:t>
      </w:r>
      <w:r w:rsidR="007C6A93">
        <w:rPr>
          <w:rFonts w:ascii="Open Sans" w:hAnsi="Open Sans" w:cs="Open Sans"/>
          <w:sz w:val="16"/>
          <w:szCs w:val="16"/>
        </w:rPr>
        <w:t>.</w:t>
      </w:r>
      <w:r w:rsidR="00544B98" w:rsidRPr="00526180">
        <w:rPr>
          <w:rFonts w:ascii="Open Sans" w:hAnsi="Open Sans" w:cs="Open Sans"/>
          <w:sz w:val="16"/>
          <w:szCs w:val="16"/>
        </w:rPr>
        <w:t xml:space="preserve">” </w:t>
      </w:r>
      <w:hyperlink r:id="rId44" w:history="1">
        <w:r w:rsidR="006162FD" w:rsidRPr="00526180">
          <w:rPr>
            <w:rStyle w:val="Hyperlink"/>
            <w:rFonts w:ascii="Open Sans" w:hAnsi="Open Sans" w:cs="Open Sans"/>
            <w:sz w:val="16"/>
            <w:szCs w:val="16"/>
          </w:rPr>
          <w:t>https://www.cbpp.org/research/federal-tax/how-the-federal-tax-code-can-better-advance-racial-equity</w:t>
        </w:r>
      </w:hyperlink>
    </w:p>
  </w:footnote>
  <w:footnote w:id="47">
    <w:p w14:paraId="1391ED24" w14:textId="37540587" w:rsidR="00001FAF" w:rsidRPr="00526180" w:rsidRDefault="00001FAF">
      <w:pPr>
        <w:pStyle w:val="FootnoteText"/>
        <w:rPr>
          <w:rFonts w:ascii="Open Sans" w:hAnsi="Open Sans" w:cs="Open Sans"/>
          <w:sz w:val="16"/>
          <w:szCs w:val="16"/>
        </w:rPr>
      </w:pPr>
      <w:r w:rsidRPr="00526180">
        <w:rPr>
          <w:rStyle w:val="FootnoteReference"/>
          <w:rFonts w:ascii="Open Sans" w:hAnsi="Open Sans" w:cs="Open Sans"/>
          <w:sz w:val="16"/>
          <w:szCs w:val="16"/>
        </w:rPr>
        <w:footnoteRef/>
      </w:r>
      <w:r w:rsidRPr="00526180">
        <w:rPr>
          <w:rFonts w:ascii="Open Sans" w:hAnsi="Open Sans" w:cs="Open Sans"/>
          <w:sz w:val="16"/>
          <w:szCs w:val="16"/>
        </w:rPr>
        <w:t xml:space="preserve"> </w:t>
      </w:r>
      <w:r w:rsidR="007C6A93" w:rsidRPr="00526180">
        <w:rPr>
          <w:rFonts w:ascii="Open Sans" w:hAnsi="Open Sans" w:cs="Open Sans"/>
          <w:sz w:val="16"/>
          <w:szCs w:val="16"/>
        </w:rPr>
        <w:t>Congressional Budget Office</w:t>
      </w:r>
      <w:r w:rsidR="007C6A93">
        <w:rPr>
          <w:rFonts w:ascii="Open Sans" w:hAnsi="Open Sans" w:cs="Open Sans"/>
          <w:sz w:val="16"/>
          <w:szCs w:val="16"/>
        </w:rPr>
        <w:t>.</w:t>
      </w:r>
      <w:r w:rsidR="00EA2A3D" w:rsidRPr="00526180">
        <w:rPr>
          <w:rFonts w:ascii="Open Sans" w:hAnsi="Open Sans" w:cs="Open Sans"/>
          <w:sz w:val="16"/>
          <w:szCs w:val="16"/>
        </w:rPr>
        <w:t xml:space="preserve"> </w:t>
      </w:r>
      <w:r w:rsidR="00AF63DC" w:rsidRPr="00526180">
        <w:rPr>
          <w:rFonts w:ascii="Open Sans" w:hAnsi="Open Sans" w:cs="Open Sans"/>
          <w:sz w:val="16"/>
          <w:szCs w:val="16"/>
        </w:rPr>
        <w:t xml:space="preserve">“CBO’s Current Projections of Output, Employment, and Interest Rates and a Preliminary Look at Federal Deficits for 2020 and 2021”. </w:t>
      </w:r>
      <w:hyperlink r:id="rId45" w:history="1">
        <w:r w:rsidR="00E9706D" w:rsidRPr="00526180">
          <w:rPr>
            <w:rStyle w:val="Hyperlink"/>
            <w:rFonts w:ascii="Open Sans" w:hAnsi="Open Sans" w:cs="Open Sans"/>
            <w:sz w:val="16"/>
            <w:szCs w:val="16"/>
          </w:rPr>
          <w:t>https://www.cbo.gov/publication/56335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87EE0" w14:textId="43BBBC3F" w:rsidR="00D56DD5" w:rsidRPr="00D56DD5" w:rsidRDefault="00D56DD5">
    <w:pPr>
      <w:pStyle w:val="Header"/>
      <w:rPr>
        <w:rFonts w:ascii="Open Sans" w:hAnsi="Open Sans" w:cs="Open Sans"/>
      </w:rPr>
    </w:pPr>
    <w:r w:rsidRPr="00D56DD5">
      <w:rPr>
        <w:rFonts w:ascii="Open Sans" w:hAnsi="Open Sans" w:cs="Open Sans"/>
        <w:noProof/>
      </w:rPr>
      <w:drawing>
        <wp:anchor distT="0" distB="0" distL="114300" distR="114300" simplePos="0" relativeHeight="251658240" behindDoc="0" locked="0" layoutInCell="1" allowOverlap="1" wp14:anchorId="4B02EB7A" wp14:editId="47DB2CEA">
          <wp:simplePos x="0" y="0"/>
          <wp:positionH relativeFrom="column">
            <wp:posOffset>5395043</wp:posOffset>
          </wp:positionH>
          <wp:positionV relativeFrom="paragraph">
            <wp:posOffset>-248892</wp:posOffset>
          </wp:positionV>
          <wp:extent cx="1139190" cy="908050"/>
          <wp:effectExtent l="0" t="0" r="381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190" cy="908050"/>
                  </a:xfrm>
                  <a:prstGeom prst="rect">
                    <a:avLst/>
                  </a:prstGeom>
                  <a:noFill/>
                </pic:spPr>
              </pic:pic>
            </a:graphicData>
          </a:graphic>
          <wp14:sizeRelH relativeFrom="page">
            <wp14:pctWidth>0</wp14:pctWidth>
          </wp14:sizeRelH>
          <wp14:sizeRelV relativeFrom="page">
            <wp14:pctHeight>0</wp14:pctHeight>
          </wp14:sizeRelV>
        </wp:anchor>
      </w:drawing>
    </w:r>
    <w:r w:rsidRPr="00D56DD5">
      <w:rPr>
        <w:rFonts w:ascii="Open Sans" w:hAnsi="Open Sans" w:cs="Open Sans"/>
      </w:rPr>
      <w:t>Summer 2020 | International Conference</w:t>
    </w:r>
  </w:p>
  <w:p w14:paraId="143183FF" w14:textId="0FBCBB89" w:rsidR="00D56DD5" w:rsidRPr="00D56DD5" w:rsidRDefault="00D56DD5" w:rsidP="00BC1BFD">
    <w:pPr>
      <w:pStyle w:val="Header"/>
      <w:spacing w:after="120"/>
      <w:rPr>
        <w:rFonts w:ascii="Open Sans" w:hAnsi="Open Sans" w:cs="Open Sans"/>
        <w:sz w:val="32"/>
        <w:szCs w:val="32"/>
      </w:rPr>
    </w:pPr>
    <w:r w:rsidRPr="00D56DD5">
      <w:rPr>
        <w:rFonts w:ascii="Open Sans" w:hAnsi="Open Sans" w:cs="Open Sans"/>
        <w:sz w:val="32"/>
        <w:szCs w:val="32"/>
      </w:rPr>
      <w:t>U.S. POLICY OVERVIEW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D46829"/>
    <w:multiLevelType w:val="hybridMultilevel"/>
    <w:tmpl w:val="E644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B03F49"/>
    <w:multiLevelType w:val="hybridMultilevel"/>
    <w:tmpl w:val="1430F02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1F2411"/>
    <w:multiLevelType w:val="hybridMultilevel"/>
    <w:tmpl w:val="961E8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DD5"/>
    <w:rsid w:val="000012FE"/>
    <w:rsid w:val="00001FAF"/>
    <w:rsid w:val="00006F9C"/>
    <w:rsid w:val="000177A8"/>
    <w:rsid w:val="00020CAC"/>
    <w:rsid w:val="0002180C"/>
    <w:rsid w:val="00031263"/>
    <w:rsid w:val="00034444"/>
    <w:rsid w:val="0003514A"/>
    <w:rsid w:val="00041BD2"/>
    <w:rsid w:val="00044A4F"/>
    <w:rsid w:val="000471FE"/>
    <w:rsid w:val="0006793D"/>
    <w:rsid w:val="00083182"/>
    <w:rsid w:val="000B042D"/>
    <w:rsid w:val="000B082F"/>
    <w:rsid w:val="000B4FDC"/>
    <w:rsid w:val="000C65BE"/>
    <w:rsid w:val="000D392F"/>
    <w:rsid w:val="000E309A"/>
    <w:rsid w:val="001042A2"/>
    <w:rsid w:val="001072BE"/>
    <w:rsid w:val="00143D1F"/>
    <w:rsid w:val="0015182D"/>
    <w:rsid w:val="00171B5A"/>
    <w:rsid w:val="00180BF7"/>
    <w:rsid w:val="00182E06"/>
    <w:rsid w:val="00187AB5"/>
    <w:rsid w:val="00191C4E"/>
    <w:rsid w:val="001A1333"/>
    <w:rsid w:val="001A7A57"/>
    <w:rsid w:val="001B6268"/>
    <w:rsid w:val="001D07F7"/>
    <w:rsid w:val="001D34B4"/>
    <w:rsid w:val="001F4D32"/>
    <w:rsid w:val="002104DE"/>
    <w:rsid w:val="0023176F"/>
    <w:rsid w:val="00235A15"/>
    <w:rsid w:val="002662BC"/>
    <w:rsid w:val="00270DFA"/>
    <w:rsid w:val="00274020"/>
    <w:rsid w:val="002753F7"/>
    <w:rsid w:val="00276E0E"/>
    <w:rsid w:val="002823D8"/>
    <w:rsid w:val="002835D0"/>
    <w:rsid w:val="00286128"/>
    <w:rsid w:val="00290AE0"/>
    <w:rsid w:val="002A024F"/>
    <w:rsid w:val="002A5FCF"/>
    <w:rsid w:val="002A7DA3"/>
    <w:rsid w:val="002B411F"/>
    <w:rsid w:val="002B783C"/>
    <w:rsid w:val="002D5AA7"/>
    <w:rsid w:val="002D6351"/>
    <w:rsid w:val="002F1A19"/>
    <w:rsid w:val="00306D64"/>
    <w:rsid w:val="00313B28"/>
    <w:rsid w:val="003343B4"/>
    <w:rsid w:val="00341F72"/>
    <w:rsid w:val="003561FE"/>
    <w:rsid w:val="00357AE2"/>
    <w:rsid w:val="00362F33"/>
    <w:rsid w:val="00364933"/>
    <w:rsid w:val="0039008C"/>
    <w:rsid w:val="00391B3F"/>
    <w:rsid w:val="00395C21"/>
    <w:rsid w:val="003A0DB6"/>
    <w:rsid w:val="003B1CB4"/>
    <w:rsid w:val="003B5955"/>
    <w:rsid w:val="003B7578"/>
    <w:rsid w:val="003C28CF"/>
    <w:rsid w:val="003F6E88"/>
    <w:rsid w:val="00425B52"/>
    <w:rsid w:val="00435562"/>
    <w:rsid w:val="00447A66"/>
    <w:rsid w:val="00450F84"/>
    <w:rsid w:val="00463754"/>
    <w:rsid w:val="0046693B"/>
    <w:rsid w:val="00466E71"/>
    <w:rsid w:val="004817B0"/>
    <w:rsid w:val="004818FF"/>
    <w:rsid w:val="00483436"/>
    <w:rsid w:val="004A5B45"/>
    <w:rsid w:val="004A7ABA"/>
    <w:rsid w:val="004E31D3"/>
    <w:rsid w:val="004F4785"/>
    <w:rsid w:val="004F508A"/>
    <w:rsid w:val="00511F21"/>
    <w:rsid w:val="00517298"/>
    <w:rsid w:val="00524D43"/>
    <w:rsid w:val="00526180"/>
    <w:rsid w:val="00544B98"/>
    <w:rsid w:val="00551878"/>
    <w:rsid w:val="0055504B"/>
    <w:rsid w:val="005A6023"/>
    <w:rsid w:val="005B2542"/>
    <w:rsid w:val="005B4B34"/>
    <w:rsid w:val="005D1094"/>
    <w:rsid w:val="005D464C"/>
    <w:rsid w:val="005E0D05"/>
    <w:rsid w:val="005E1449"/>
    <w:rsid w:val="005F09EC"/>
    <w:rsid w:val="005F5F19"/>
    <w:rsid w:val="006162FD"/>
    <w:rsid w:val="00655BA1"/>
    <w:rsid w:val="0068529B"/>
    <w:rsid w:val="006918EC"/>
    <w:rsid w:val="006A330D"/>
    <w:rsid w:val="006B613E"/>
    <w:rsid w:val="006F15BC"/>
    <w:rsid w:val="006F27F9"/>
    <w:rsid w:val="006F2FAE"/>
    <w:rsid w:val="006F3513"/>
    <w:rsid w:val="006F42CD"/>
    <w:rsid w:val="00701ED7"/>
    <w:rsid w:val="00702492"/>
    <w:rsid w:val="00724092"/>
    <w:rsid w:val="007347B0"/>
    <w:rsid w:val="00737D2A"/>
    <w:rsid w:val="007401F7"/>
    <w:rsid w:val="0075185C"/>
    <w:rsid w:val="007731E4"/>
    <w:rsid w:val="007A47B3"/>
    <w:rsid w:val="007B041C"/>
    <w:rsid w:val="007C02C5"/>
    <w:rsid w:val="007C5FFA"/>
    <w:rsid w:val="007C6A93"/>
    <w:rsid w:val="007D3965"/>
    <w:rsid w:val="007D7000"/>
    <w:rsid w:val="007F2E56"/>
    <w:rsid w:val="007F4AE1"/>
    <w:rsid w:val="007F525F"/>
    <w:rsid w:val="007F78DF"/>
    <w:rsid w:val="0080172D"/>
    <w:rsid w:val="00801E4E"/>
    <w:rsid w:val="00805AFC"/>
    <w:rsid w:val="00827316"/>
    <w:rsid w:val="008372E2"/>
    <w:rsid w:val="0085446C"/>
    <w:rsid w:val="008776D4"/>
    <w:rsid w:val="0088573E"/>
    <w:rsid w:val="0089637C"/>
    <w:rsid w:val="00897025"/>
    <w:rsid w:val="008A2507"/>
    <w:rsid w:val="008A2D2D"/>
    <w:rsid w:val="008B1E6F"/>
    <w:rsid w:val="008C144F"/>
    <w:rsid w:val="008D0032"/>
    <w:rsid w:val="008D5D39"/>
    <w:rsid w:val="008E4D71"/>
    <w:rsid w:val="008E7B1B"/>
    <w:rsid w:val="008F4C14"/>
    <w:rsid w:val="00913708"/>
    <w:rsid w:val="00921C06"/>
    <w:rsid w:val="00924DAE"/>
    <w:rsid w:val="00936E01"/>
    <w:rsid w:val="00962E9D"/>
    <w:rsid w:val="00964FEE"/>
    <w:rsid w:val="009871D0"/>
    <w:rsid w:val="00993059"/>
    <w:rsid w:val="009A2B37"/>
    <w:rsid w:val="009A564D"/>
    <w:rsid w:val="009C4991"/>
    <w:rsid w:val="009D33F5"/>
    <w:rsid w:val="009E5949"/>
    <w:rsid w:val="009E5BA9"/>
    <w:rsid w:val="00A04594"/>
    <w:rsid w:val="00A06933"/>
    <w:rsid w:val="00A234CF"/>
    <w:rsid w:val="00A2536B"/>
    <w:rsid w:val="00A317A1"/>
    <w:rsid w:val="00A46EBB"/>
    <w:rsid w:val="00A52985"/>
    <w:rsid w:val="00A636DE"/>
    <w:rsid w:val="00A6392F"/>
    <w:rsid w:val="00AC1EC7"/>
    <w:rsid w:val="00AD684F"/>
    <w:rsid w:val="00AE6456"/>
    <w:rsid w:val="00AF3885"/>
    <w:rsid w:val="00AF50A1"/>
    <w:rsid w:val="00AF63DC"/>
    <w:rsid w:val="00AF7D5C"/>
    <w:rsid w:val="00B062FA"/>
    <w:rsid w:val="00B1079C"/>
    <w:rsid w:val="00B1186E"/>
    <w:rsid w:val="00B16070"/>
    <w:rsid w:val="00B20B1C"/>
    <w:rsid w:val="00B24544"/>
    <w:rsid w:val="00B31A1B"/>
    <w:rsid w:val="00B33249"/>
    <w:rsid w:val="00B531EA"/>
    <w:rsid w:val="00B67928"/>
    <w:rsid w:val="00B8419A"/>
    <w:rsid w:val="00B91D0C"/>
    <w:rsid w:val="00BC1BFD"/>
    <w:rsid w:val="00BC1D55"/>
    <w:rsid w:val="00BC4AF4"/>
    <w:rsid w:val="00BD086F"/>
    <w:rsid w:val="00BD3B5C"/>
    <w:rsid w:val="00BD4232"/>
    <w:rsid w:val="00BD4DCD"/>
    <w:rsid w:val="00BE68E7"/>
    <w:rsid w:val="00BF2283"/>
    <w:rsid w:val="00BF6591"/>
    <w:rsid w:val="00BF7E72"/>
    <w:rsid w:val="00C02589"/>
    <w:rsid w:val="00C03045"/>
    <w:rsid w:val="00C06200"/>
    <w:rsid w:val="00C176EB"/>
    <w:rsid w:val="00C55885"/>
    <w:rsid w:val="00C65EEA"/>
    <w:rsid w:val="00C71D69"/>
    <w:rsid w:val="00C95076"/>
    <w:rsid w:val="00CC182B"/>
    <w:rsid w:val="00CD68A3"/>
    <w:rsid w:val="00CD702D"/>
    <w:rsid w:val="00CD7677"/>
    <w:rsid w:val="00CE42FD"/>
    <w:rsid w:val="00D0077B"/>
    <w:rsid w:val="00D04A98"/>
    <w:rsid w:val="00D05ADE"/>
    <w:rsid w:val="00D11DBB"/>
    <w:rsid w:val="00D15323"/>
    <w:rsid w:val="00D20DC6"/>
    <w:rsid w:val="00D30B5E"/>
    <w:rsid w:val="00D315E0"/>
    <w:rsid w:val="00D472E7"/>
    <w:rsid w:val="00D51EAA"/>
    <w:rsid w:val="00D56DD5"/>
    <w:rsid w:val="00D611EF"/>
    <w:rsid w:val="00D831A3"/>
    <w:rsid w:val="00D86751"/>
    <w:rsid w:val="00D97DAF"/>
    <w:rsid w:val="00DA0379"/>
    <w:rsid w:val="00DB2198"/>
    <w:rsid w:val="00DC54EA"/>
    <w:rsid w:val="00DC77F0"/>
    <w:rsid w:val="00DD1619"/>
    <w:rsid w:val="00DD4E48"/>
    <w:rsid w:val="00DE6504"/>
    <w:rsid w:val="00DF72ED"/>
    <w:rsid w:val="00DF776E"/>
    <w:rsid w:val="00E001D7"/>
    <w:rsid w:val="00E0127D"/>
    <w:rsid w:val="00E05BC9"/>
    <w:rsid w:val="00E31E3D"/>
    <w:rsid w:val="00E31EEF"/>
    <w:rsid w:val="00E52CC9"/>
    <w:rsid w:val="00E72944"/>
    <w:rsid w:val="00E76AD6"/>
    <w:rsid w:val="00E90302"/>
    <w:rsid w:val="00E911FB"/>
    <w:rsid w:val="00E91DE4"/>
    <w:rsid w:val="00E9706D"/>
    <w:rsid w:val="00EA2A3D"/>
    <w:rsid w:val="00EA2FA9"/>
    <w:rsid w:val="00EA5548"/>
    <w:rsid w:val="00EA5F82"/>
    <w:rsid w:val="00EB66AB"/>
    <w:rsid w:val="00EC6584"/>
    <w:rsid w:val="00EE1B49"/>
    <w:rsid w:val="00EE4D52"/>
    <w:rsid w:val="00EE6AF0"/>
    <w:rsid w:val="00EE77B1"/>
    <w:rsid w:val="00EE7F87"/>
    <w:rsid w:val="00EF0F63"/>
    <w:rsid w:val="00F0053D"/>
    <w:rsid w:val="00F00BF0"/>
    <w:rsid w:val="00F127B1"/>
    <w:rsid w:val="00F14128"/>
    <w:rsid w:val="00F155AC"/>
    <w:rsid w:val="00F1712E"/>
    <w:rsid w:val="00F25037"/>
    <w:rsid w:val="00F31515"/>
    <w:rsid w:val="00F36DCB"/>
    <w:rsid w:val="00F403C5"/>
    <w:rsid w:val="00F5485D"/>
    <w:rsid w:val="00F6064C"/>
    <w:rsid w:val="00F744D9"/>
    <w:rsid w:val="00F81403"/>
    <w:rsid w:val="00F87304"/>
    <w:rsid w:val="00FA266A"/>
    <w:rsid w:val="00FA332C"/>
    <w:rsid w:val="00FB4146"/>
    <w:rsid w:val="00FD334A"/>
    <w:rsid w:val="00FD5AA4"/>
    <w:rsid w:val="00FE26C3"/>
    <w:rsid w:val="00FF6933"/>
    <w:rsid w:val="1F9F9EC5"/>
    <w:rsid w:val="295DB8CD"/>
    <w:rsid w:val="356CE489"/>
    <w:rsid w:val="40389E3B"/>
    <w:rsid w:val="450E2E10"/>
    <w:rsid w:val="5A4B3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BE89E"/>
  <w15:chartTrackingRefBased/>
  <w15:docId w15:val="{BC3727F4-A360-4836-8910-EB8537C3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4F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59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DD5"/>
  </w:style>
  <w:style w:type="paragraph" w:styleId="Footer">
    <w:name w:val="footer"/>
    <w:basedOn w:val="Normal"/>
    <w:link w:val="FooterChar"/>
    <w:uiPriority w:val="99"/>
    <w:unhideWhenUsed/>
    <w:rsid w:val="00D56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DD5"/>
  </w:style>
  <w:style w:type="paragraph" w:styleId="BalloonText">
    <w:name w:val="Balloon Text"/>
    <w:basedOn w:val="Normal"/>
    <w:link w:val="BalloonTextChar"/>
    <w:uiPriority w:val="99"/>
    <w:semiHidden/>
    <w:unhideWhenUsed/>
    <w:rsid w:val="00D56D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DD5"/>
    <w:rPr>
      <w:rFonts w:ascii="Segoe UI" w:hAnsi="Segoe UI" w:cs="Segoe UI"/>
      <w:sz w:val="18"/>
      <w:szCs w:val="18"/>
    </w:rPr>
  </w:style>
  <w:style w:type="character" w:styleId="Hyperlink">
    <w:name w:val="Hyperlink"/>
    <w:basedOn w:val="DefaultParagraphFont"/>
    <w:uiPriority w:val="99"/>
    <w:unhideWhenUsed/>
    <w:rsid w:val="00D56DD5"/>
    <w:rPr>
      <w:color w:val="0563C1" w:themeColor="hyperlink"/>
      <w:u w:val="single"/>
    </w:rPr>
  </w:style>
  <w:style w:type="paragraph" w:styleId="FootnoteText">
    <w:name w:val="footnote text"/>
    <w:basedOn w:val="Normal"/>
    <w:link w:val="FootnoteTextChar"/>
    <w:uiPriority w:val="99"/>
    <w:unhideWhenUsed/>
    <w:rsid w:val="00D56DD5"/>
    <w:pPr>
      <w:spacing w:after="0" w:line="240" w:lineRule="auto"/>
    </w:pPr>
    <w:rPr>
      <w:sz w:val="20"/>
      <w:szCs w:val="20"/>
    </w:rPr>
  </w:style>
  <w:style w:type="character" w:customStyle="1" w:styleId="FootnoteTextChar">
    <w:name w:val="Footnote Text Char"/>
    <w:basedOn w:val="DefaultParagraphFont"/>
    <w:link w:val="FootnoteText"/>
    <w:uiPriority w:val="99"/>
    <w:rsid w:val="00D56DD5"/>
    <w:rPr>
      <w:sz w:val="20"/>
      <w:szCs w:val="20"/>
    </w:rPr>
  </w:style>
  <w:style w:type="character" w:styleId="FootnoteReference">
    <w:name w:val="footnote reference"/>
    <w:basedOn w:val="DefaultParagraphFont"/>
    <w:uiPriority w:val="99"/>
    <w:unhideWhenUsed/>
    <w:rsid w:val="00D56DD5"/>
    <w:rPr>
      <w:vertAlign w:val="superscript"/>
    </w:rPr>
  </w:style>
  <w:style w:type="character" w:styleId="CommentReference">
    <w:name w:val="annotation reference"/>
    <w:basedOn w:val="DefaultParagraphFont"/>
    <w:uiPriority w:val="99"/>
    <w:semiHidden/>
    <w:unhideWhenUsed/>
    <w:rsid w:val="00D56DD5"/>
    <w:rPr>
      <w:sz w:val="16"/>
      <w:szCs w:val="16"/>
    </w:rPr>
  </w:style>
  <w:style w:type="paragraph" w:styleId="CommentText">
    <w:name w:val="annotation text"/>
    <w:basedOn w:val="Normal"/>
    <w:link w:val="CommentTextChar"/>
    <w:uiPriority w:val="99"/>
    <w:semiHidden/>
    <w:unhideWhenUsed/>
    <w:rsid w:val="00D56DD5"/>
    <w:pPr>
      <w:spacing w:line="240" w:lineRule="auto"/>
    </w:pPr>
    <w:rPr>
      <w:sz w:val="20"/>
      <w:szCs w:val="20"/>
    </w:rPr>
  </w:style>
  <w:style w:type="character" w:customStyle="1" w:styleId="CommentTextChar">
    <w:name w:val="Comment Text Char"/>
    <w:basedOn w:val="DefaultParagraphFont"/>
    <w:link w:val="CommentText"/>
    <w:uiPriority w:val="99"/>
    <w:semiHidden/>
    <w:rsid w:val="00D56DD5"/>
    <w:rPr>
      <w:sz w:val="20"/>
      <w:szCs w:val="20"/>
    </w:rPr>
  </w:style>
  <w:style w:type="character" w:styleId="Mention">
    <w:name w:val="Mention"/>
    <w:basedOn w:val="DefaultParagraphFont"/>
    <w:uiPriority w:val="99"/>
    <w:unhideWhenUsed/>
    <w:rsid w:val="00D56DD5"/>
    <w:rPr>
      <w:color w:val="2B579A"/>
      <w:shd w:val="clear" w:color="auto" w:fill="E6E6E6"/>
    </w:rPr>
  </w:style>
  <w:style w:type="character" w:styleId="UnresolvedMention">
    <w:name w:val="Unresolved Mention"/>
    <w:basedOn w:val="DefaultParagraphFont"/>
    <w:uiPriority w:val="99"/>
    <w:unhideWhenUsed/>
    <w:rsid w:val="00D56DD5"/>
    <w:rPr>
      <w:color w:val="605E5C"/>
      <w:shd w:val="clear" w:color="auto" w:fill="E1DFDD"/>
    </w:rPr>
  </w:style>
  <w:style w:type="character" w:styleId="FollowedHyperlink">
    <w:name w:val="FollowedHyperlink"/>
    <w:basedOn w:val="DefaultParagraphFont"/>
    <w:uiPriority w:val="99"/>
    <w:semiHidden/>
    <w:unhideWhenUsed/>
    <w:rsid w:val="00083182"/>
    <w:rPr>
      <w:color w:val="954F72" w:themeColor="followedHyperlink"/>
      <w:u w:val="single"/>
    </w:rPr>
  </w:style>
  <w:style w:type="paragraph" w:styleId="EndnoteText">
    <w:name w:val="endnote text"/>
    <w:basedOn w:val="Normal"/>
    <w:link w:val="EndnoteTextChar"/>
    <w:uiPriority w:val="99"/>
    <w:semiHidden/>
    <w:unhideWhenUsed/>
    <w:rsid w:val="005518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1878"/>
    <w:rPr>
      <w:sz w:val="20"/>
      <w:szCs w:val="20"/>
    </w:rPr>
  </w:style>
  <w:style w:type="character" w:styleId="EndnoteReference">
    <w:name w:val="endnote reference"/>
    <w:basedOn w:val="DefaultParagraphFont"/>
    <w:uiPriority w:val="99"/>
    <w:semiHidden/>
    <w:unhideWhenUsed/>
    <w:rsid w:val="00551878"/>
    <w:rPr>
      <w:vertAlign w:val="superscript"/>
    </w:rPr>
  </w:style>
  <w:style w:type="paragraph" w:styleId="CommentSubject">
    <w:name w:val="annotation subject"/>
    <w:basedOn w:val="CommentText"/>
    <w:next w:val="CommentText"/>
    <w:link w:val="CommentSubjectChar"/>
    <w:uiPriority w:val="99"/>
    <w:semiHidden/>
    <w:unhideWhenUsed/>
    <w:rsid w:val="004F508A"/>
    <w:rPr>
      <w:b/>
      <w:bCs/>
    </w:rPr>
  </w:style>
  <w:style w:type="character" w:customStyle="1" w:styleId="CommentSubjectChar">
    <w:name w:val="Comment Subject Char"/>
    <w:basedOn w:val="CommentTextChar"/>
    <w:link w:val="CommentSubject"/>
    <w:uiPriority w:val="99"/>
    <w:semiHidden/>
    <w:rsid w:val="004F508A"/>
    <w:rPr>
      <w:b/>
      <w:bCs/>
      <w:sz w:val="20"/>
      <w:szCs w:val="20"/>
    </w:rPr>
  </w:style>
  <w:style w:type="paragraph" w:styleId="Caption">
    <w:name w:val="caption"/>
    <w:basedOn w:val="Normal"/>
    <w:next w:val="Normal"/>
    <w:uiPriority w:val="35"/>
    <w:unhideWhenUsed/>
    <w:qFormat/>
    <w:rsid w:val="000E309A"/>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9E594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B4FD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B4FDC"/>
    <w:pPr>
      <w:outlineLvl w:val="9"/>
    </w:pPr>
  </w:style>
  <w:style w:type="paragraph" w:styleId="TOC2">
    <w:name w:val="toc 2"/>
    <w:basedOn w:val="Normal"/>
    <w:next w:val="Normal"/>
    <w:autoRedefine/>
    <w:uiPriority w:val="39"/>
    <w:unhideWhenUsed/>
    <w:rsid w:val="000B4FD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cbo.gov/publication/56335" TargetMode="External"/><Relationship Id="rId26" Type="http://schemas.openxmlformats.org/officeDocument/2006/relationships/image" Target="media/image4.png"/><Relationship Id="rId39" Type="http://schemas.openxmlformats.org/officeDocument/2006/relationships/hyperlink" Target="https://www.nationalacademies.org/our-work/building-an-agenda-to-reduce-the-number-of-children-in-poverty-by-half-in-10-years" TargetMode="External"/><Relationship Id="rId21" Type="http://schemas.openxmlformats.org/officeDocument/2006/relationships/hyperlink" Target="https://www.congress.gov/bill/116th-congress/house-bill/4808?q=%7B%22search%22%3A%5B%22Housing%2C+Opportunity%2C+Mobility%2C+and+Equity+Act%22%5D%7D&amp;s=3&amp;r=1" TargetMode="External"/><Relationship Id="rId34" Type="http://schemas.openxmlformats.org/officeDocument/2006/relationships/hyperlink" Target="http://www.encyclopedia.chicagohistory.org/pages/1045.html" TargetMode="External"/><Relationship Id="rId42" Type="http://schemas.openxmlformats.org/officeDocument/2006/relationships/hyperlink" Target="https://www.cbpp.org/research/federal-tax/how-the-federal-tax-code-can-better-advance-racial-equity" TargetMode="External"/><Relationship Id="rId47"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results.org/blog/results-responds-to-white-house-proposals-that-threaten-low-income-famil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nsus.gov/library/publications/2019/demo/p60-266.html" TargetMode="External"/><Relationship Id="rId24" Type="http://schemas.openxmlformats.org/officeDocument/2006/relationships/hyperlink" Target="https://www.congress.gov/bill/116th-congress/senate-bill/1106?q=%7B%22search%22%3A%5B%22rent+relief+act%22%5D%7D&amp;s=1&amp;r=2" TargetMode="External"/><Relationship Id="rId32" Type="http://schemas.openxmlformats.org/officeDocument/2006/relationships/image" Target="media/image7.png"/><Relationship Id="rId37" Type="http://schemas.openxmlformats.org/officeDocument/2006/relationships/hyperlink" Target="http://www.encyclopedia.chicagohistory.org/pages/1045.html" TargetMode="External"/><Relationship Id="rId40" Type="http://schemas.openxmlformats.org/officeDocument/2006/relationships/hyperlink" Target="https://www.cbpp.org/research/federal-tax/temporarily-expanding-child-tax-credit-and-earned-income-tax-credit-would"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omenswealthgap.org/wp-content/uploads/2020/04/OnTheMargins_April2020_CWWG.pdf" TargetMode="External"/><Relationship Id="rId23" Type="http://schemas.openxmlformats.org/officeDocument/2006/relationships/hyperlink" Target="https://www.congress.gov/bill/116th-congress/house-bill/2169?q=%7B%22search%22%3A%5B%22rent+relief+act%22%5D%7D&amp;s=1&amp;r=1" TargetMode="External"/><Relationship Id="rId28" Type="http://schemas.openxmlformats.org/officeDocument/2006/relationships/image" Target="media/image6.png"/><Relationship Id="rId36" Type="http://schemas.openxmlformats.org/officeDocument/2006/relationships/hyperlink" Target="http://www.encyclopedia.chicagohistory.org/pages/883.html" TargetMode="External"/><Relationship Id="rId10" Type="http://schemas.openxmlformats.org/officeDocument/2006/relationships/endnotes" Target="endnotes.xml"/><Relationship Id="rId19" Type="http://schemas.openxmlformats.org/officeDocument/2006/relationships/hyperlink" Target="https://nlihc.org/sites/default/files/COVID-paper-Culhane-et-al-final-word.pdf" TargetMode="External"/><Relationship Id="rId31" Type="http://schemas.openxmlformats.org/officeDocument/2006/relationships/hyperlink" Target="https://www.census.gov/content/dam/Census/library/visualizations/2019/demo/p60-268/figure8.pdf"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www.congress.gov/bill/116th-congress/senate-bill/2684?q=%7B%22search%22%3A%5B%22Housing%2C+Opportunity%2C+Mobility%2C+and+Equity+Act%22%5D%7D&amp;s=3&amp;r=2" TargetMode="External"/><Relationship Id="rId27" Type="http://schemas.openxmlformats.org/officeDocument/2006/relationships/image" Target="media/image5.png"/><Relationship Id="rId30" Type="http://schemas.openxmlformats.org/officeDocument/2006/relationships/hyperlink" Target="https://www.census.gov/library/publications/2019/demo/p60-268.html" TargetMode="External"/><Relationship Id="rId35" Type="http://schemas.openxmlformats.org/officeDocument/2006/relationships/hyperlink" Target="http://www.encyclopedia.chicagohistory.org/pages/27.html" TargetMode="External"/><Relationship Id="rId43" Type="http://schemas.openxmlformats.org/officeDocument/2006/relationships/hyperlink" Target="https://www.cbo.gov/publication/56335"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results.org/resources/2019-international-conference-resources/" TargetMode="External"/><Relationship Id="rId17" Type="http://schemas.openxmlformats.org/officeDocument/2006/relationships/hyperlink" Target="https://www.urban.org/urban-wire/new-data-suggest-covid-19-widening-housing-disparities-race-and-income" TargetMode="External"/><Relationship Id="rId25" Type="http://schemas.openxmlformats.org/officeDocument/2006/relationships/hyperlink" Target="https://www.congress.gov/bill/115th-congress/senate-bill/3580?q=%7B%22search%22%3A%5B%22s.3580%22%5D%7D&amp;s=2&amp;r=3" TargetMode="External"/><Relationship Id="rId33" Type="http://schemas.openxmlformats.org/officeDocument/2006/relationships/hyperlink" Target="http://www.encyclopedia.chicagohistory.org/pages/883.html" TargetMode="External"/><Relationship Id="rId38" Type="http://schemas.openxmlformats.org/officeDocument/2006/relationships/hyperlink" Target="http://www.encyclopedia.chicagohistory.org/pages/27.html" TargetMode="External"/><Relationship Id="rId46" Type="http://schemas.openxmlformats.org/officeDocument/2006/relationships/theme" Target="theme/theme1.xml"/><Relationship Id="rId20" Type="http://schemas.openxmlformats.org/officeDocument/2006/relationships/hyperlink" Target="https://results.org/volunteers/action-center/?vvsrc=%2fBills%2fUSA%2f20192020r%2fS.+3030" TargetMode="External"/><Relationship Id="rId41" Type="http://schemas.openxmlformats.org/officeDocument/2006/relationships/hyperlink" Target="https://www.cbpp.org/research/federal-tax/temporarily-expanding-child-tax-credit-and-earned-income-tax-credit-would"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nlihc.org/sites/default/files/Emergency-Rental-Assistance-Needs-for-Workers-Struggling-due-to-COVID-19.pdf" TargetMode="External"/><Relationship Id="rId18" Type="http://schemas.openxmlformats.org/officeDocument/2006/relationships/hyperlink" Target="https://www.cbpp.org/research/policy-basics-the-supplemental-nutrition-assistance-program-snap" TargetMode="External"/><Relationship Id="rId26" Type="http://schemas.openxmlformats.org/officeDocument/2006/relationships/hyperlink" Target="https://www.feedingamerica.org/sites/default/files/2020-05/Brief_Local%20Impact_5.19.2020.pdf" TargetMode="External"/><Relationship Id="rId39" Type="http://schemas.openxmlformats.org/officeDocument/2006/relationships/hyperlink" Target="https://doi.org/10.17226/25246" TargetMode="External"/><Relationship Id="rId21" Type="http://schemas.openxmlformats.org/officeDocument/2006/relationships/hyperlink" Target="https://www.urban.org/urban-wire/more-one-five-us-adults-experienced-food-insecurity-early-weeks-pandemic" TargetMode="External"/><Relationship Id="rId34" Type="http://schemas.openxmlformats.org/officeDocument/2006/relationships/hyperlink" Target="https://www.census.gov/library/publications/2019/demo/p60-268.html" TargetMode="External"/><Relationship Id="rId42" Type="http://schemas.openxmlformats.org/officeDocument/2006/relationships/hyperlink" Target="https://www.cbpp.org/research/federal-tax/temporarily-expanding-child-tax-credit-and-earned-income-tax-credit-would" TargetMode="External"/><Relationship Id="rId7" Type="http://schemas.openxmlformats.org/officeDocument/2006/relationships/hyperlink" Target="https://scorecard.prosperitynow.org/main-findingshttps://scorecard.prosperitynow.org/main-findings" TargetMode="External"/><Relationship Id="rId2" Type="http://schemas.openxmlformats.org/officeDocument/2006/relationships/hyperlink" Target="https://www.bls.gov/news.release/empsit.nr0.htm" TargetMode="External"/><Relationship Id="rId16" Type="http://schemas.openxmlformats.org/officeDocument/2006/relationships/hyperlink" Target="https://www.feedingamerica.org/sites/default/files/2020-05/Brief_Local%20Impact_5.19.2020.pdf" TargetMode="External"/><Relationship Id="rId29" Type="http://schemas.openxmlformats.org/officeDocument/2006/relationships/hyperlink" Target="https://www.childrensdefense.org/wp-content/uploads/2020/05/CDF-SNAP-Brief-May-2020.pdf" TargetMode="External"/><Relationship Id="rId1" Type="http://schemas.openxmlformats.org/officeDocument/2006/relationships/hyperlink" Target="https://www.census.gov/library/publications/2019/demo/p60-266.html" TargetMode="External"/><Relationship Id="rId6" Type="http://schemas.openxmlformats.org/officeDocument/2006/relationships/hyperlink" Target="https://www.jchs.harvard.edu/sites/default/files/Harvard_JCHS_State_of_the_Nations_Housing_2018.pdf" TargetMode="External"/><Relationship Id="rId11" Type="http://schemas.openxmlformats.org/officeDocument/2006/relationships/hyperlink" Target="https://www.urban.org/urban-wire/new-data-suggest-covid-19-widening-housing-disparities-race-and-income" TargetMode="External"/><Relationship Id="rId24" Type="http://schemas.openxmlformats.org/officeDocument/2006/relationships/hyperlink" Target="https://www.bls.gov/news.release/pdf/empsit.pdf" TargetMode="External"/><Relationship Id="rId32" Type="http://schemas.openxmlformats.org/officeDocument/2006/relationships/hyperlink" Target="https://www.cbpp.org/sites/default/files/atoms/files/5-20-20sfp.pdf" TargetMode="External"/><Relationship Id="rId37" Type="http://schemas.openxmlformats.org/officeDocument/2006/relationships/hyperlink" Target="https://www.americanprogress.org/issues/poverty/report/2014/10/07/98452/harnessing-the-eitc-and-other-tax-credits-to-promote-financial-stability-and-economic-mobility/" TargetMode="External"/><Relationship Id="rId40" Type="http://schemas.openxmlformats.org/officeDocument/2006/relationships/hyperlink" Target="https://itep.org/the-case-for-extending-state-level-child-tax-credits-to-those-left-out-a-50-state-analysis/" TargetMode="External"/><Relationship Id="rId45" Type="http://schemas.openxmlformats.org/officeDocument/2006/relationships/hyperlink" Target="https://www.cbo.gov/publication/56335" TargetMode="External"/><Relationship Id="rId5" Type="http://schemas.openxmlformats.org/officeDocument/2006/relationships/hyperlink" Target="https://www.cbpp.org/research/housing/federal-rental-assistance-fact-sheets" TargetMode="External"/><Relationship Id="rId15" Type="http://schemas.openxmlformats.org/officeDocument/2006/relationships/hyperlink" Target="https://www.ers.usda.gov/webdocs/publications/94849/err-270.pdf?v=9183.3" TargetMode="External"/><Relationship Id="rId23" Type="http://schemas.openxmlformats.org/officeDocument/2006/relationships/hyperlink" Target="https://www.bls.gov/news.release/pdf/empsit.pdf" TargetMode="External"/><Relationship Id="rId28" Type="http://schemas.openxmlformats.org/officeDocument/2006/relationships/hyperlink" Target="http://www.cbpp.org/research/the-relationships-among-snap-benefits-grocery-spending-diet-quality-and-the-adequacy-of-low" TargetMode="External"/><Relationship Id="rId36" Type="http://schemas.openxmlformats.org/officeDocument/2006/relationships/hyperlink" Target="https://www.taxpolicycenter.org/briefing-book/how-does-earned-income-tax-credit-affect-poor-families" TargetMode="External"/><Relationship Id="rId10" Type="http://schemas.openxmlformats.org/officeDocument/2006/relationships/hyperlink" Target="https://www.urban.org/research/publication/parents-are-struggling-provide-their-families-during-pandemic" TargetMode="External"/><Relationship Id="rId19" Type="http://schemas.openxmlformats.org/officeDocument/2006/relationships/hyperlink" Target="https://www.fns.usda.gov/pd/supplemental-nutrition-assistance-program-snap" TargetMode="External"/><Relationship Id="rId31" Type="http://schemas.openxmlformats.org/officeDocument/2006/relationships/hyperlink" Target="https://www.ers.usda.gov/topics/food-nutrition-assistance/supplemental-nutrition-assistance-program-snap/economic-linkages/" TargetMode="External"/><Relationship Id="rId44" Type="http://schemas.openxmlformats.org/officeDocument/2006/relationships/hyperlink" Target="https://www.cbpp.org/research/federal-tax/how-the-federal-tax-code-can-better-advance-racial-equity" TargetMode="External"/><Relationship Id="rId4" Type="http://schemas.openxmlformats.org/officeDocument/2006/relationships/hyperlink" Target="https://www.census.gov/content/dam/Census/library/visualizations/2019/demo/p60-268/figure8.pdf" TargetMode="External"/><Relationship Id="rId9" Type="http://schemas.openxmlformats.org/officeDocument/2006/relationships/hyperlink" Target="https://womenswealthgap.org/wp-content/uploads/2020/04/OnTheMargins_April2020_CWWG.pdf" TargetMode="External"/><Relationship Id="rId14" Type="http://schemas.openxmlformats.org/officeDocument/2006/relationships/hyperlink" Target="https://www.vox.com/future-perfect/2019/1/30/18183769/democrat-poverty-plans-2020-presidential-kamala-harris-booker-gillibrand" TargetMode="External"/><Relationship Id="rId22" Type="http://schemas.openxmlformats.org/officeDocument/2006/relationships/hyperlink" Target="https://www.cbpp.org/blog/snap-is-responding-to-increased-need-early-evidence-shows" TargetMode="External"/><Relationship Id="rId27" Type="http://schemas.openxmlformats.org/officeDocument/2006/relationships/hyperlink" Target="http://www.hamiltonproject.org/papers/modernizing_snap_benefits" TargetMode="External"/><Relationship Id="rId30" Type="http://schemas.openxmlformats.org/officeDocument/2006/relationships/hyperlink" Target="https://www.childrensdefense.org/wp-content/uploads/2018/06/Ending-Child-Poverty-Now.pdf" TargetMode="External"/><Relationship Id="rId35" Type="http://schemas.openxmlformats.org/officeDocument/2006/relationships/hyperlink" Target="http://www.taxpolicycenter.org/briefing-book/key-elements/family/eitc.cfm" TargetMode="External"/><Relationship Id="rId43" Type="http://schemas.openxmlformats.org/officeDocument/2006/relationships/hyperlink" Target="https://www.cbpp.org/research/federal-tax/temporarily-expanding-child-tax-credit-and-earned-income-tax-credit-would" TargetMode="External"/><Relationship Id="rId8" Type="http://schemas.openxmlformats.org/officeDocument/2006/relationships/hyperlink" Target="https://womenswealthgap.org/wp-content/uploads/2020/04/OnTheMargins_April2020_CWWG.pdf" TargetMode="External"/><Relationship Id="rId3" Type="http://schemas.openxmlformats.org/officeDocument/2006/relationships/hyperlink" Target="https://results.org/resources/2019-international-conference-resources/" TargetMode="External"/><Relationship Id="rId12" Type="http://schemas.openxmlformats.org/officeDocument/2006/relationships/hyperlink" Target="https://www.cbo.gov/publication/56335https://www.cbo.gov/publication/56335" TargetMode="External"/><Relationship Id="rId17" Type="http://schemas.openxmlformats.org/officeDocument/2006/relationships/hyperlink" Target="https://www.fns.usda.gov/snap/short-history-snap" TargetMode="External"/><Relationship Id="rId25" Type="http://schemas.openxmlformats.org/officeDocument/2006/relationships/hyperlink" Target="https://www.urban.org/research/publication/parents-are-struggling-provide-their-families-during-pandemic" TargetMode="External"/><Relationship Id="rId33" Type="http://schemas.openxmlformats.org/officeDocument/2006/relationships/hyperlink" Target="https://www.eitc.irs.gov/partner-toolkit/basic-marketing-communication-materials/eitc-fast-facts/eitc-fast-facts" TargetMode="External"/><Relationship Id="rId38" Type="http://schemas.openxmlformats.org/officeDocument/2006/relationships/hyperlink" Target="http://www.cbpp.org/research/federal-tax/eitc-and-child-tax-credit-promote-work-reduce-poverty-and-support-childrens?fa=view&amp;id=3793" TargetMode="External"/><Relationship Id="rId20" Type="http://schemas.openxmlformats.org/officeDocument/2006/relationships/hyperlink" Target="https://www.census.gov/content/dam/Census/library/publications/2019/demo/p60-268.pdf" TargetMode="External"/><Relationship Id="rId41" Type="http://schemas.openxmlformats.org/officeDocument/2006/relationships/hyperlink" Target="http://www.taxcreditsforworkersandfamilies.org/news/new-survey-sheds-light-on-how-workers-use-the-eit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DF2243E6C85A4794611ACAEA088222" ma:contentTypeVersion="10" ma:contentTypeDescription="Create a new document." ma:contentTypeScope="" ma:versionID="7299d9a972c2393db609a7514e77e946">
  <xsd:schema xmlns:xsd="http://www.w3.org/2001/XMLSchema" xmlns:xs="http://www.w3.org/2001/XMLSchema" xmlns:p="http://schemas.microsoft.com/office/2006/metadata/properties" xmlns:ns2="ef035fee-706e-4acb-9a43-6ee1a9ecef89" xmlns:ns3="e1541ae8-567d-462c-9e78-c3b0dfdaed9d" targetNamespace="http://schemas.microsoft.com/office/2006/metadata/properties" ma:root="true" ma:fieldsID="03ed3d9b0fcea067346db41765fd791d" ns2:_="" ns3:_="">
    <xsd:import namespace="ef035fee-706e-4acb-9a43-6ee1a9ecef89"/>
    <xsd:import namespace="e1541ae8-567d-462c-9e78-c3b0dfdaed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35fee-706e-4acb-9a43-6ee1a9ecef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541ae8-567d-462c-9e78-c3b0dfdaed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A69E7-9DE6-4BB0-BAF5-4BCB1CB3512A}">
  <ds:schemaRefs>
    <ds:schemaRef ds:uri="http://schemas.microsoft.com/sharepoint/v3/contenttype/forms"/>
  </ds:schemaRefs>
</ds:datastoreItem>
</file>

<file path=customXml/itemProps2.xml><?xml version="1.0" encoding="utf-8"?>
<ds:datastoreItem xmlns:ds="http://schemas.openxmlformats.org/officeDocument/2006/customXml" ds:itemID="{F2EEBAD3-669B-4254-8549-66D2410DAC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1E4C23-698C-49B4-97A6-C0358BD33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35fee-706e-4acb-9a43-6ee1a9ecef89"/>
    <ds:schemaRef ds:uri="e1541ae8-567d-462c-9e78-c3b0dfdae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B7A5F1-AC4D-4D8C-B3DC-00E7CD30B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3971</Words>
  <Characters>22640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26558</CharactersWithSpaces>
  <SharedDoc>false</SharedDoc>
  <HLinks>
    <vt:vector size="474" baseType="variant">
      <vt:variant>
        <vt:i4>983110</vt:i4>
      </vt:variant>
      <vt:variant>
        <vt:i4>84</vt:i4>
      </vt:variant>
      <vt:variant>
        <vt:i4>0</vt:i4>
      </vt:variant>
      <vt:variant>
        <vt:i4>5</vt:i4>
      </vt:variant>
      <vt:variant>
        <vt:lpwstr>https://www.cbo.gov/publication/56335</vt:lpwstr>
      </vt:variant>
      <vt:variant>
        <vt:lpwstr/>
      </vt:variant>
      <vt:variant>
        <vt:i4>6881384</vt:i4>
      </vt:variant>
      <vt:variant>
        <vt:i4>81</vt:i4>
      </vt:variant>
      <vt:variant>
        <vt:i4>0</vt:i4>
      </vt:variant>
      <vt:variant>
        <vt:i4>5</vt:i4>
      </vt:variant>
      <vt:variant>
        <vt:lpwstr>https://www.cbpp.org/research/federal-tax/how-the-federal-tax-code-can-better-advance-racial-equity</vt:lpwstr>
      </vt:variant>
      <vt:variant>
        <vt:lpwstr/>
      </vt:variant>
      <vt:variant>
        <vt:i4>6422582</vt:i4>
      </vt:variant>
      <vt:variant>
        <vt:i4>78</vt:i4>
      </vt:variant>
      <vt:variant>
        <vt:i4>0</vt:i4>
      </vt:variant>
      <vt:variant>
        <vt:i4>5</vt:i4>
      </vt:variant>
      <vt:variant>
        <vt:lpwstr>https://www.cbpp.org/research/federal-tax/temporarily-expanding-child-tax-credit-and-earned-income-tax-credit-would</vt:lpwstr>
      </vt:variant>
      <vt:variant>
        <vt:lpwstr/>
      </vt:variant>
      <vt:variant>
        <vt:i4>6422582</vt:i4>
      </vt:variant>
      <vt:variant>
        <vt:i4>75</vt:i4>
      </vt:variant>
      <vt:variant>
        <vt:i4>0</vt:i4>
      </vt:variant>
      <vt:variant>
        <vt:i4>5</vt:i4>
      </vt:variant>
      <vt:variant>
        <vt:lpwstr>https://www.cbpp.org/research/federal-tax/temporarily-expanding-child-tax-credit-and-earned-income-tax-credit-would</vt:lpwstr>
      </vt:variant>
      <vt:variant>
        <vt:lpwstr/>
      </vt:variant>
      <vt:variant>
        <vt:i4>6357024</vt:i4>
      </vt:variant>
      <vt:variant>
        <vt:i4>72</vt:i4>
      </vt:variant>
      <vt:variant>
        <vt:i4>0</vt:i4>
      </vt:variant>
      <vt:variant>
        <vt:i4>5</vt:i4>
      </vt:variant>
      <vt:variant>
        <vt:lpwstr>https://www.nationalacademies.org/our-work/building-an-agenda-to-reduce-the-number-of-children-in-poverty-by-half-in-10-years</vt:lpwstr>
      </vt:variant>
      <vt:variant>
        <vt:lpwstr>sectionPublications</vt:lpwstr>
      </vt:variant>
      <vt:variant>
        <vt:i4>2883691</vt:i4>
      </vt:variant>
      <vt:variant>
        <vt:i4>69</vt:i4>
      </vt:variant>
      <vt:variant>
        <vt:i4>0</vt:i4>
      </vt:variant>
      <vt:variant>
        <vt:i4>5</vt:i4>
      </vt:variant>
      <vt:variant>
        <vt:lpwstr>https://www.census.gov/library/publications/2019/demo/p60-268.html</vt:lpwstr>
      </vt:variant>
      <vt:variant>
        <vt:lpwstr/>
      </vt:variant>
      <vt:variant>
        <vt:i4>3932193</vt:i4>
      </vt:variant>
      <vt:variant>
        <vt:i4>66</vt:i4>
      </vt:variant>
      <vt:variant>
        <vt:i4>0</vt:i4>
      </vt:variant>
      <vt:variant>
        <vt:i4>5</vt:i4>
      </vt:variant>
      <vt:variant>
        <vt:lpwstr>https://www.congress.gov/bill/115th-congress/senate-bill/3580?q=%7B%22search%22%3A%5B%22s.3580%22%5D%7D&amp;s=2&amp;r=3</vt:lpwstr>
      </vt:variant>
      <vt:variant>
        <vt:lpwstr/>
      </vt:variant>
      <vt:variant>
        <vt:i4>1703940</vt:i4>
      </vt:variant>
      <vt:variant>
        <vt:i4>63</vt:i4>
      </vt:variant>
      <vt:variant>
        <vt:i4>0</vt:i4>
      </vt:variant>
      <vt:variant>
        <vt:i4>5</vt:i4>
      </vt:variant>
      <vt:variant>
        <vt:lpwstr>https://www.congress.gov/bill/116th-congress/senate-bill/1106?q=%7B%22search%22%3A%5B%22rent+relief+act%22%5D%7D&amp;s=1&amp;r=2</vt:lpwstr>
      </vt:variant>
      <vt:variant>
        <vt:lpwstr/>
      </vt:variant>
      <vt:variant>
        <vt:i4>6881315</vt:i4>
      </vt:variant>
      <vt:variant>
        <vt:i4>60</vt:i4>
      </vt:variant>
      <vt:variant>
        <vt:i4>0</vt:i4>
      </vt:variant>
      <vt:variant>
        <vt:i4>5</vt:i4>
      </vt:variant>
      <vt:variant>
        <vt:lpwstr>https://www.congress.gov/bill/116th-congress/house-bill/2169?q=%7B%22search%22%3A%5B%22rent+relief+act%22%5D%7D&amp;s=1&amp;r=1</vt:lpwstr>
      </vt:variant>
      <vt:variant>
        <vt:lpwstr/>
      </vt:variant>
      <vt:variant>
        <vt:i4>851993</vt:i4>
      </vt:variant>
      <vt:variant>
        <vt:i4>57</vt:i4>
      </vt:variant>
      <vt:variant>
        <vt:i4>0</vt:i4>
      </vt:variant>
      <vt:variant>
        <vt:i4>5</vt:i4>
      </vt:variant>
      <vt:variant>
        <vt:lpwstr>https://www.congress.gov/bill/116th-congress/senate-bill/2684?q=%7B%22search%22%3A%5B%22Housing%2C+Opportunity%2C+Mobility%2C+and+Equity+Act%22%5D%7D&amp;s=3&amp;r=2</vt:lpwstr>
      </vt:variant>
      <vt:variant>
        <vt:lpwstr/>
      </vt:variant>
      <vt:variant>
        <vt:i4>4718605</vt:i4>
      </vt:variant>
      <vt:variant>
        <vt:i4>54</vt:i4>
      </vt:variant>
      <vt:variant>
        <vt:i4>0</vt:i4>
      </vt:variant>
      <vt:variant>
        <vt:i4>5</vt:i4>
      </vt:variant>
      <vt:variant>
        <vt:lpwstr>https://www.congress.gov/bill/116th-congress/house-bill/4808?q=%7B%22search%22%3A%5B%22Housing%2C+Opportunity%2C+Mobility%2C+and+Equity+Act%22%5D%7D&amp;s=3&amp;r=1</vt:lpwstr>
      </vt:variant>
      <vt:variant>
        <vt:lpwstr/>
      </vt:variant>
      <vt:variant>
        <vt:i4>786446</vt:i4>
      </vt:variant>
      <vt:variant>
        <vt:i4>51</vt:i4>
      </vt:variant>
      <vt:variant>
        <vt:i4>0</vt:i4>
      </vt:variant>
      <vt:variant>
        <vt:i4>5</vt:i4>
      </vt:variant>
      <vt:variant>
        <vt:lpwstr>https://results.org/volunteers/action-center/?vvsrc=%2fBills%2fUSA%2f20192020r%2fS.+3030</vt:lpwstr>
      </vt:variant>
      <vt:variant>
        <vt:lpwstr/>
      </vt:variant>
      <vt:variant>
        <vt:i4>8192037</vt:i4>
      </vt:variant>
      <vt:variant>
        <vt:i4>48</vt:i4>
      </vt:variant>
      <vt:variant>
        <vt:i4>0</vt:i4>
      </vt:variant>
      <vt:variant>
        <vt:i4>5</vt:i4>
      </vt:variant>
      <vt:variant>
        <vt:lpwstr>https://nlihc.org/sites/default/files/COVID-paper-Culhane-et-al-final-word.pdf</vt:lpwstr>
      </vt:variant>
      <vt:variant>
        <vt:lpwstr/>
      </vt:variant>
      <vt:variant>
        <vt:i4>983110</vt:i4>
      </vt:variant>
      <vt:variant>
        <vt:i4>45</vt:i4>
      </vt:variant>
      <vt:variant>
        <vt:i4>0</vt:i4>
      </vt:variant>
      <vt:variant>
        <vt:i4>5</vt:i4>
      </vt:variant>
      <vt:variant>
        <vt:lpwstr>https://www.cbo.gov/publication/56335</vt:lpwstr>
      </vt:variant>
      <vt:variant>
        <vt:lpwstr/>
      </vt:variant>
      <vt:variant>
        <vt:i4>3145768</vt:i4>
      </vt:variant>
      <vt:variant>
        <vt:i4>42</vt:i4>
      </vt:variant>
      <vt:variant>
        <vt:i4>0</vt:i4>
      </vt:variant>
      <vt:variant>
        <vt:i4>5</vt:i4>
      </vt:variant>
      <vt:variant>
        <vt:lpwstr>https://www.urban.org/urban-wire/new-data-suggest-covid-19-widening-housing-disparities-race-and-income</vt:lpwstr>
      </vt:variant>
      <vt:variant>
        <vt:lpwstr/>
      </vt:variant>
      <vt:variant>
        <vt:i4>983110</vt:i4>
      </vt:variant>
      <vt:variant>
        <vt:i4>39</vt:i4>
      </vt:variant>
      <vt:variant>
        <vt:i4>0</vt:i4>
      </vt:variant>
      <vt:variant>
        <vt:i4>5</vt:i4>
      </vt:variant>
      <vt:variant>
        <vt:lpwstr>https://www.cbo.gov/publication/56335</vt:lpwstr>
      </vt:variant>
      <vt:variant>
        <vt:lpwstr/>
      </vt:variant>
      <vt:variant>
        <vt:i4>7208992</vt:i4>
      </vt:variant>
      <vt:variant>
        <vt:i4>36</vt:i4>
      </vt:variant>
      <vt:variant>
        <vt:i4>0</vt:i4>
      </vt:variant>
      <vt:variant>
        <vt:i4>5</vt:i4>
      </vt:variant>
      <vt:variant>
        <vt:lpwstr>https://womenswealthgap.org/wp-content/uploads/2020/04/OnTheMargins_April2020_CWWG.pdf</vt:lpwstr>
      </vt:variant>
      <vt:variant>
        <vt:lpwstr/>
      </vt:variant>
      <vt:variant>
        <vt:i4>1507389</vt:i4>
      </vt:variant>
      <vt:variant>
        <vt:i4>29</vt:i4>
      </vt:variant>
      <vt:variant>
        <vt:i4>0</vt:i4>
      </vt:variant>
      <vt:variant>
        <vt:i4>5</vt:i4>
      </vt:variant>
      <vt:variant>
        <vt:lpwstr/>
      </vt:variant>
      <vt:variant>
        <vt:lpwstr>_Toc42319536</vt:lpwstr>
      </vt:variant>
      <vt:variant>
        <vt:i4>1310781</vt:i4>
      </vt:variant>
      <vt:variant>
        <vt:i4>23</vt:i4>
      </vt:variant>
      <vt:variant>
        <vt:i4>0</vt:i4>
      </vt:variant>
      <vt:variant>
        <vt:i4>5</vt:i4>
      </vt:variant>
      <vt:variant>
        <vt:lpwstr/>
      </vt:variant>
      <vt:variant>
        <vt:lpwstr>_Toc42319535</vt:lpwstr>
      </vt:variant>
      <vt:variant>
        <vt:i4>1376317</vt:i4>
      </vt:variant>
      <vt:variant>
        <vt:i4>17</vt:i4>
      </vt:variant>
      <vt:variant>
        <vt:i4>0</vt:i4>
      </vt:variant>
      <vt:variant>
        <vt:i4>5</vt:i4>
      </vt:variant>
      <vt:variant>
        <vt:lpwstr/>
      </vt:variant>
      <vt:variant>
        <vt:lpwstr>_Toc42319534</vt:lpwstr>
      </vt:variant>
      <vt:variant>
        <vt:i4>1179709</vt:i4>
      </vt:variant>
      <vt:variant>
        <vt:i4>11</vt:i4>
      </vt:variant>
      <vt:variant>
        <vt:i4>0</vt:i4>
      </vt:variant>
      <vt:variant>
        <vt:i4>5</vt:i4>
      </vt:variant>
      <vt:variant>
        <vt:lpwstr/>
      </vt:variant>
      <vt:variant>
        <vt:lpwstr>_Toc42319533</vt:lpwstr>
      </vt:variant>
      <vt:variant>
        <vt:i4>1245245</vt:i4>
      </vt:variant>
      <vt:variant>
        <vt:i4>5</vt:i4>
      </vt:variant>
      <vt:variant>
        <vt:i4>0</vt:i4>
      </vt:variant>
      <vt:variant>
        <vt:i4>5</vt:i4>
      </vt:variant>
      <vt:variant>
        <vt:lpwstr/>
      </vt:variant>
      <vt:variant>
        <vt:lpwstr>_Toc42319532</vt:lpwstr>
      </vt:variant>
      <vt:variant>
        <vt:i4>2883685</vt:i4>
      </vt:variant>
      <vt:variant>
        <vt:i4>0</vt:i4>
      </vt:variant>
      <vt:variant>
        <vt:i4>0</vt:i4>
      </vt:variant>
      <vt:variant>
        <vt:i4>5</vt:i4>
      </vt:variant>
      <vt:variant>
        <vt:lpwstr>https://www.census.gov/library/publications/2019/demo/p60-266.html</vt:lpwstr>
      </vt:variant>
      <vt:variant>
        <vt:lpwstr/>
      </vt:variant>
      <vt:variant>
        <vt:i4>983110</vt:i4>
      </vt:variant>
      <vt:variant>
        <vt:i4>108</vt:i4>
      </vt:variant>
      <vt:variant>
        <vt:i4>0</vt:i4>
      </vt:variant>
      <vt:variant>
        <vt:i4>5</vt:i4>
      </vt:variant>
      <vt:variant>
        <vt:lpwstr>https://www.cbo.gov/publication/56335</vt:lpwstr>
      </vt:variant>
      <vt:variant>
        <vt:lpwstr/>
      </vt:variant>
      <vt:variant>
        <vt:i4>6881384</vt:i4>
      </vt:variant>
      <vt:variant>
        <vt:i4>105</vt:i4>
      </vt:variant>
      <vt:variant>
        <vt:i4>0</vt:i4>
      </vt:variant>
      <vt:variant>
        <vt:i4>5</vt:i4>
      </vt:variant>
      <vt:variant>
        <vt:lpwstr>https://www.cbpp.org/research/federal-tax/how-the-federal-tax-code-can-better-advance-racial-equity</vt:lpwstr>
      </vt:variant>
      <vt:variant>
        <vt:lpwstr/>
      </vt:variant>
      <vt:variant>
        <vt:i4>6422582</vt:i4>
      </vt:variant>
      <vt:variant>
        <vt:i4>102</vt:i4>
      </vt:variant>
      <vt:variant>
        <vt:i4>0</vt:i4>
      </vt:variant>
      <vt:variant>
        <vt:i4>5</vt:i4>
      </vt:variant>
      <vt:variant>
        <vt:lpwstr>https://www.cbpp.org/research/federal-tax/temporarily-expanding-child-tax-credit-and-earned-income-tax-credit-would</vt:lpwstr>
      </vt:variant>
      <vt:variant>
        <vt:lpwstr/>
      </vt:variant>
      <vt:variant>
        <vt:i4>6422582</vt:i4>
      </vt:variant>
      <vt:variant>
        <vt:i4>99</vt:i4>
      </vt:variant>
      <vt:variant>
        <vt:i4>0</vt:i4>
      </vt:variant>
      <vt:variant>
        <vt:i4>5</vt:i4>
      </vt:variant>
      <vt:variant>
        <vt:lpwstr>https://www.cbpp.org/research/federal-tax/temporarily-expanding-child-tax-credit-and-earned-income-tax-credit-would</vt:lpwstr>
      </vt:variant>
      <vt:variant>
        <vt:lpwstr/>
      </vt:variant>
      <vt:variant>
        <vt:i4>7078007</vt:i4>
      </vt:variant>
      <vt:variant>
        <vt:i4>96</vt:i4>
      </vt:variant>
      <vt:variant>
        <vt:i4>0</vt:i4>
      </vt:variant>
      <vt:variant>
        <vt:i4>5</vt:i4>
      </vt:variant>
      <vt:variant>
        <vt:lpwstr>http://www.taxcreditsforworkersandfamilies.org/news/new-survey-sheds-light-on-how-workers-use-the-eitc/</vt:lpwstr>
      </vt:variant>
      <vt:variant>
        <vt:lpwstr/>
      </vt:variant>
      <vt:variant>
        <vt:i4>5767255</vt:i4>
      </vt:variant>
      <vt:variant>
        <vt:i4>93</vt:i4>
      </vt:variant>
      <vt:variant>
        <vt:i4>0</vt:i4>
      </vt:variant>
      <vt:variant>
        <vt:i4>5</vt:i4>
      </vt:variant>
      <vt:variant>
        <vt:lpwstr>https://itep.org/the-case-for-extending-state-level-child-tax-credits-to-those-left-out-a-50-state-analysis/</vt:lpwstr>
      </vt:variant>
      <vt:variant>
        <vt:lpwstr/>
      </vt:variant>
      <vt:variant>
        <vt:i4>4063345</vt:i4>
      </vt:variant>
      <vt:variant>
        <vt:i4>90</vt:i4>
      </vt:variant>
      <vt:variant>
        <vt:i4>0</vt:i4>
      </vt:variant>
      <vt:variant>
        <vt:i4>5</vt:i4>
      </vt:variant>
      <vt:variant>
        <vt:lpwstr>https://doi.org/10.17226/25246</vt:lpwstr>
      </vt:variant>
      <vt:variant>
        <vt:lpwstr/>
      </vt:variant>
      <vt:variant>
        <vt:i4>786438</vt:i4>
      </vt:variant>
      <vt:variant>
        <vt:i4>87</vt:i4>
      </vt:variant>
      <vt:variant>
        <vt:i4>0</vt:i4>
      </vt:variant>
      <vt:variant>
        <vt:i4>5</vt:i4>
      </vt:variant>
      <vt:variant>
        <vt:lpwstr>http://www.cbpp.org/research/federal-tax/eitc-and-child-tax-credit-promote-work-reduce-poverty-and-support-childrens?fa=view&amp;id=3793</vt:lpwstr>
      </vt:variant>
      <vt:variant>
        <vt:lpwstr/>
      </vt:variant>
      <vt:variant>
        <vt:i4>7077944</vt:i4>
      </vt:variant>
      <vt:variant>
        <vt:i4>84</vt:i4>
      </vt:variant>
      <vt:variant>
        <vt:i4>0</vt:i4>
      </vt:variant>
      <vt:variant>
        <vt:i4>5</vt:i4>
      </vt:variant>
      <vt:variant>
        <vt:lpwstr>https://www.americanprogress.org/issues/poverty/report/2014/10/07/98452/harnessing-the-eitc-and-other-tax-credits-to-promote-financial-stability-and-economic-mobility/</vt:lpwstr>
      </vt:variant>
      <vt:variant>
        <vt:lpwstr/>
      </vt:variant>
      <vt:variant>
        <vt:i4>655384</vt:i4>
      </vt:variant>
      <vt:variant>
        <vt:i4>81</vt:i4>
      </vt:variant>
      <vt:variant>
        <vt:i4>0</vt:i4>
      </vt:variant>
      <vt:variant>
        <vt:i4>5</vt:i4>
      </vt:variant>
      <vt:variant>
        <vt:lpwstr>https://www.taxpolicycenter.org/briefing-book/how-does-earned-income-tax-credit-affect-poor-families</vt:lpwstr>
      </vt:variant>
      <vt:variant>
        <vt:lpwstr/>
      </vt:variant>
      <vt:variant>
        <vt:i4>1900571</vt:i4>
      </vt:variant>
      <vt:variant>
        <vt:i4>78</vt:i4>
      </vt:variant>
      <vt:variant>
        <vt:i4>0</vt:i4>
      </vt:variant>
      <vt:variant>
        <vt:i4>5</vt:i4>
      </vt:variant>
      <vt:variant>
        <vt:lpwstr>http://www.taxpolicycenter.org/briefing-book/key-elements/family/eitc.cfm</vt:lpwstr>
      </vt:variant>
      <vt:variant>
        <vt:lpwstr/>
      </vt:variant>
      <vt:variant>
        <vt:i4>1441866</vt:i4>
      </vt:variant>
      <vt:variant>
        <vt:i4>75</vt:i4>
      </vt:variant>
      <vt:variant>
        <vt:i4>0</vt:i4>
      </vt:variant>
      <vt:variant>
        <vt:i4>5</vt:i4>
      </vt:variant>
      <vt:variant>
        <vt:lpwstr>https://www.cbpp.org/research/federal-tax/policy-basics-the-earned-income-tax-credit</vt:lpwstr>
      </vt:variant>
      <vt:variant>
        <vt:lpwstr/>
      </vt:variant>
      <vt:variant>
        <vt:i4>2883691</vt:i4>
      </vt:variant>
      <vt:variant>
        <vt:i4>72</vt:i4>
      </vt:variant>
      <vt:variant>
        <vt:i4>0</vt:i4>
      </vt:variant>
      <vt:variant>
        <vt:i4>5</vt:i4>
      </vt:variant>
      <vt:variant>
        <vt:lpwstr>https://www.census.gov/library/publications/2019/demo/p60-268.html</vt:lpwstr>
      </vt:variant>
      <vt:variant>
        <vt:lpwstr/>
      </vt:variant>
      <vt:variant>
        <vt:i4>7209006</vt:i4>
      </vt:variant>
      <vt:variant>
        <vt:i4>69</vt:i4>
      </vt:variant>
      <vt:variant>
        <vt:i4>0</vt:i4>
      </vt:variant>
      <vt:variant>
        <vt:i4>5</vt:i4>
      </vt:variant>
      <vt:variant>
        <vt:lpwstr>https://www.cbpp.org/sites/default/files/atoms/files/5-20-20sfp.pdf</vt:lpwstr>
      </vt:variant>
      <vt:variant>
        <vt:lpwstr/>
      </vt:variant>
      <vt:variant>
        <vt:i4>3866720</vt:i4>
      </vt:variant>
      <vt:variant>
        <vt:i4>66</vt:i4>
      </vt:variant>
      <vt:variant>
        <vt:i4>0</vt:i4>
      </vt:variant>
      <vt:variant>
        <vt:i4>5</vt:i4>
      </vt:variant>
      <vt:variant>
        <vt:lpwstr>https://www.ers.usda.gov/topics/food-nutrition-assistance/supplemental-nutrition-assistance-program-snap/economic-linkages/</vt:lpwstr>
      </vt:variant>
      <vt:variant>
        <vt:lpwstr/>
      </vt:variant>
      <vt:variant>
        <vt:i4>1966168</vt:i4>
      </vt:variant>
      <vt:variant>
        <vt:i4>63</vt:i4>
      </vt:variant>
      <vt:variant>
        <vt:i4>0</vt:i4>
      </vt:variant>
      <vt:variant>
        <vt:i4>5</vt:i4>
      </vt:variant>
      <vt:variant>
        <vt:lpwstr>https://www.childrensdefense.org/wp-content/uploads/2018/06/Ending-Child-Poverty-Now.pdf</vt:lpwstr>
      </vt:variant>
      <vt:variant>
        <vt:lpwstr/>
      </vt:variant>
      <vt:variant>
        <vt:i4>8257657</vt:i4>
      </vt:variant>
      <vt:variant>
        <vt:i4>60</vt:i4>
      </vt:variant>
      <vt:variant>
        <vt:i4>0</vt:i4>
      </vt:variant>
      <vt:variant>
        <vt:i4>5</vt:i4>
      </vt:variant>
      <vt:variant>
        <vt:lpwstr>https://www.childrensdefense.org/wp-content/uploads/2020/05/CDF-SNAP-Brief-May-2020.pdf</vt:lpwstr>
      </vt:variant>
      <vt:variant>
        <vt:lpwstr/>
      </vt:variant>
      <vt:variant>
        <vt:i4>917506</vt:i4>
      </vt:variant>
      <vt:variant>
        <vt:i4>57</vt:i4>
      </vt:variant>
      <vt:variant>
        <vt:i4>0</vt:i4>
      </vt:variant>
      <vt:variant>
        <vt:i4>5</vt:i4>
      </vt:variant>
      <vt:variant>
        <vt:lpwstr>http://www.cbpp.org/research/the-relationships-among-snap-benefits-grocery-spending-diet-quality-and-the-adequacy-of-low</vt:lpwstr>
      </vt:variant>
      <vt:variant>
        <vt:lpwstr/>
      </vt:variant>
      <vt:variant>
        <vt:i4>5832709</vt:i4>
      </vt:variant>
      <vt:variant>
        <vt:i4>54</vt:i4>
      </vt:variant>
      <vt:variant>
        <vt:i4>0</vt:i4>
      </vt:variant>
      <vt:variant>
        <vt:i4>5</vt:i4>
      </vt:variant>
      <vt:variant>
        <vt:lpwstr>http://www.hamiltonproject.org/papers/modernizing_snap_benefits</vt:lpwstr>
      </vt:variant>
      <vt:variant>
        <vt:lpwstr/>
      </vt:variant>
      <vt:variant>
        <vt:i4>4391006</vt:i4>
      </vt:variant>
      <vt:variant>
        <vt:i4>51</vt:i4>
      </vt:variant>
      <vt:variant>
        <vt:i4>0</vt:i4>
      </vt:variant>
      <vt:variant>
        <vt:i4>5</vt:i4>
      </vt:variant>
      <vt:variant>
        <vt:lpwstr>https://www.feedingamerica.org/sites/default/files/2020-05/Brief_Local Impact_5.19.2020.pdf</vt:lpwstr>
      </vt:variant>
      <vt:variant>
        <vt:lpwstr/>
      </vt:variant>
      <vt:variant>
        <vt:i4>5242895</vt:i4>
      </vt:variant>
      <vt:variant>
        <vt:i4>48</vt:i4>
      </vt:variant>
      <vt:variant>
        <vt:i4>0</vt:i4>
      </vt:variant>
      <vt:variant>
        <vt:i4>5</vt:i4>
      </vt:variant>
      <vt:variant>
        <vt:lpwstr>https://www.urban.org/research/publication/parents-are-struggling-provide-their-families-during-pandemic</vt:lpwstr>
      </vt:variant>
      <vt:variant>
        <vt:lpwstr/>
      </vt:variant>
      <vt:variant>
        <vt:i4>6684794</vt:i4>
      </vt:variant>
      <vt:variant>
        <vt:i4>45</vt:i4>
      </vt:variant>
      <vt:variant>
        <vt:i4>0</vt:i4>
      </vt:variant>
      <vt:variant>
        <vt:i4>5</vt:i4>
      </vt:variant>
      <vt:variant>
        <vt:lpwstr>https://www.bls.gov/news.release/pdf/empsit.pdf</vt:lpwstr>
      </vt:variant>
      <vt:variant>
        <vt:lpwstr/>
      </vt:variant>
      <vt:variant>
        <vt:i4>6684794</vt:i4>
      </vt:variant>
      <vt:variant>
        <vt:i4>42</vt:i4>
      </vt:variant>
      <vt:variant>
        <vt:i4>0</vt:i4>
      </vt:variant>
      <vt:variant>
        <vt:i4>5</vt:i4>
      </vt:variant>
      <vt:variant>
        <vt:lpwstr>https://www.bls.gov/news.release/pdf/empsit.pdf</vt:lpwstr>
      </vt:variant>
      <vt:variant>
        <vt:lpwstr/>
      </vt:variant>
      <vt:variant>
        <vt:i4>6553658</vt:i4>
      </vt:variant>
      <vt:variant>
        <vt:i4>39</vt:i4>
      </vt:variant>
      <vt:variant>
        <vt:i4>0</vt:i4>
      </vt:variant>
      <vt:variant>
        <vt:i4>5</vt:i4>
      </vt:variant>
      <vt:variant>
        <vt:lpwstr>https://www.cbpp.org/blog/snap-is-responding-to-increased-need-early-evidence-shows</vt:lpwstr>
      </vt:variant>
      <vt:variant>
        <vt:lpwstr/>
      </vt:variant>
      <vt:variant>
        <vt:i4>1441793</vt:i4>
      </vt:variant>
      <vt:variant>
        <vt:i4>36</vt:i4>
      </vt:variant>
      <vt:variant>
        <vt:i4>0</vt:i4>
      </vt:variant>
      <vt:variant>
        <vt:i4>5</vt:i4>
      </vt:variant>
      <vt:variant>
        <vt:lpwstr>https://www.urban.org/urban-wire/more-one-five-us-adults-experienced-food-insecurity-early-weeks-pandemic</vt:lpwstr>
      </vt:variant>
      <vt:variant>
        <vt:lpwstr/>
      </vt:variant>
      <vt:variant>
        <vt:i4>5242955</vt:i4>
      </vt:variant>
      <vt:variant>
        <vt:i4>33</vt:i4>
      </vt:variant>
      <vt:variant>
        <vt:i4>0</vt:i4>
      </vt:variant>
      <vt:variant>
        <vt:i4>5</vt:i4>
      </vt:variant>
      <vt:variant>
        <vt:lpwstr>https://www.census.gov/content/dam/Census/library/publications/2019/demo/p60-268.pdf</vt:lpwstr>
      </vt:variant>
      <vt:variant>
        <vt:lpwstr/>
      </vt:variant>
      <vt:variant>
        <vt:i4>3407912</vt:i4>
      </vt:variant>
      <vt:variant>
        <vt:i4>30</vt:i4>
      </vt:variant>
      <vt:variant>
        <vt:i4>0</vt:i4>
      </vt:variant>
      <vt:variant>
        <vt:i4>5</vt:i4>
      </vt:variant>
      <vt:variant>
        <vt:lpwstr>https://www.fns.usda.gov/pd/supplemental-nutrition-assistance-program-snap</vt:lpwstr>
      </vt:variant>
      <vt:variant>
        <vt:lpwstr/>
      </vt:variant>
      <vt:variant>
        <vt:i4>8061028</vt:i4>
      </vt:variant>
      <vt:variant>
        <vt:i4>27</vt:i4>
      </vt:variant>
      <vt:variant>
        <vt:i4>0</vt:i4>
      </vt:variant>
      <vt:variant>
        <vt:i4>5</vt:i4>
      </vt:variant>
      <vt:variant>
        <vt:lpwstr>https://www.cbpp.org/research/policy-basics-the-supplemental-nutrition-assistance-program-snap</vt:lpwstr>
      </vt:variant>
      <vt:variant>
        <vt:lpwstr/>
      </vt:variant>
      <vt:variant>
        <vt:i4>6094915</vt:i4>
      </vt:variant>
      <vt:variant>
        <vt:i4>24</vt:i4>
      </vt:variant>
      <vt:variant>
        <vt:i4>0</vt:i4>
      </vt:variant>
      <vt:variant>
        <vt:i4>5</vt:i4>
      </vt:variant>
      <vt:variant>
        <vt:lpwstr>https://www.fns.usda.gov/snap/short-history-snap</vt:lpwstr>
      </vt:variant>
      <vt:variant>
        <vt:lpwstr/>
      </vt:variant>
      <vt:variant>
        <vt:i4>4391006</vt:i4>
      </vt:variant>
      <vt:variant>
        <vt:i4>21</vt:i4>
      </vt:variant>
      <vt:variant>
        <vt:i4>0</vt:i4>
      </vt:variant>
      <vt:variant>
        <vt:i4>5</vt:i4>
      </vt:variant>
      <vt:variant>
        <vt:lpwstr>https://www.feedingamerica.org/sites/default/files/2020-05/Brief_Local Impact_5.19.2020.pdf</vt:lpwstr>
      </vt:variant>
      <vt:variant>
        <vt:lpwstr/>
      </vt:variant>
      <vt:variant>
        <vt:i4>1179668</vt:i4>
      </vt:variant>
      <vt:variant>
        <vt:i4>18</vt:i4>
      </vt:variant>
      <vt:variant>
        <vt:i4>0</vt:i4>
      </vt:variant>
      <vt:variant>
        <vt:i4>5</vt:i4>
      </vt:variant>
      <vt:variant>
        <vt:lpwstr>https://www.ers.usda.gov/webdocs/publications/94849/err-270.pdf?v=9183.3</vt:lpwstr>
      </vt:variant>
      <vt:variant>
        <vt:lpwstr/>
      </vt:variant>
      <vt:variant>
        <vt:i4>5242895</vt:i4>
      </vt:variant>
      <vt:variant>
        <vt:i4>15</vt:i4>
      </vt:variant>
      <vt:variant>
        <vt:i4>0</vt:i4>
      </vt:variant>
      <vt:variant>
        <vt:i4>5</vt:i4>
      </vt:variant>
      <vt:variant>
        <vt:lpwstr>https://www.urban.org/research/publication/parents-are-struggling-provide-their-families-during-pandemic</vt:lpwstr>
      </vt:variant>
      <vt:variant>
        <vt:lpwstr/>
      </vt:variant>
      <vt:variant>
        <vt:i4>7208992</vt:i4>
      </vt:variant>
      <vt:variant>
        <vt:i4>12</vt:i4>
      </vt:variant>
      <vt:variant>
        <vt:i4>0</vt:i4>
      </vt:variant>
      <vt:variant>
        <vt:i4>5</vt:i4>
      </vt:variant>
      <vt:variant>
        <vt:lpwstr>https://womenswealthgap.org/wp-content/uploads/2020/04/OnTheMargins_April2020_CWWG.pdf</vt:lpwstr>
      </vt:variant>
      <vt:variant>
        <vt:lpwstr/>
      </vt:variant>
      <vt:variant>
        <vt:i4>7208992</vt:i4>
      </vt:variant>
      <vt:variant>
        <vt:i4>9</vt:i4>
      </vt:variant>
      <vt:variant>
        <vt:i4>0</vt:i4>
      </vt:variant>
      <vt:variant>
        <vt:i4>5</vt:i4>
      </vt:variant>
      <vt:variant>
        <vt:lpwstr>https://womenswealthgap.org/wp-content/uploads/2020/04/OnTheMargins_April2020_CWWG.pdf</vt:lpwstr>
      </vt:variant>
      <vt:variant>
        <vt:lpwstr/>
      </vt:variant>
      <vt:variant>
        <vt:i4>5767248</vt:i4>
      </vt:variant>
      <vt:variant>
        <vt:i4>6</vt:i4>
      </vt:variant>
      <vt:variant>
        <vt:i4>0</vt:i4>
      </vt:variant>
      <vt:variant>
        <vt:i4>5</vt:i4>
      </vt:variant>
      <vt:variant>
        <vt:lpwstr>https://www.cbpp.org/research/housing/federal-rental-assistance-fact-sheets</vt:lpwstr>
      </vt:variant>
      <vt:variant>
        <vt:lpwstr>US</vt:lpwstr>
      </vt:variant>
      <vt:variant>
        <vt:i4>3932279</vt:i4>
      </vt:variant>
      <vt:variant>
        <vt:i4>3</vt:i4>
      </vt:variant>
      <vt:variant>
        <vt:i4>0</vt:i4>
      </vt:variant>
      <vt:variant>
        <vt:i4>5</vt:i4>
      </vt:variant>
      <vt:variant>
        <vt:lpwstr>https://www.bls.gov/news.release/empsit.nr0.htm</vt:lpwstr>
      </vt:variant>
      <vt:variant>
        <vt:lpwstr/>
      </vt:variant>
      <vt:variant>
        <vt:i4>2883685</vt:i4>
      </vt:variant>
      <vt:variant>
        <vt:i4>0</vt:i4>
      </vt:variant>
      <vt:variant>
        <vt:i4>0</vt:i4>
      </vt:variant>
      <vt:variant>
        <vt:i4>5</vt:i4>
      </vt:variant>
      <vt:variant>
        <vt:lpwstr>https://www.census.gov/library/publications/2019/demo/p60-266.html</vt:lpwstr>
      </vt:variant>
      <vt:variant>
        <vt:lpwstr/>
      </vt:variant>
      <vt:variant>
        <vt:i4>7012441</vt:i4>
      </vt:variant>
      <vt:variant>
        <vt:i4>45</vt:i4>
      </vt:variant>
      <vt:variant>
        <vt:i4>0</vt:i4>
      </vt:variant>
      <vt:variant>
        <vt:i4>5</vt:i4>
      </vt:variant>
      <vt:variant>
        <vt:lpwstr>mailto:dmonza@results.org</vt:lpwstr>
      </vt:variant>
      <vt:variant>
        <vt:lpwstr/>
      </vt:variant>
      <vt:variant>
        <vt:i4>7209006</vt:i4>
      </vt:variant>
      <vt:variant>
        <vt:i4>42</vt:i4>
      </vt:variant>
      <vt:variant>
        <vt:i4>0</vt:i4>
      </vt:variant>
      <vt:variant>
        <vt:i4>5</vt:i4>
      </vt:variant>
      <vt:variant>
        <vt:lpwstr>https://www.cbpp.org/sites/default/files/atoms/files/5-20-20sfp.pdf</vt:lpwstr>
      </vt:variant>
      <vt:variant>
        <vt:lpwstr/>
      </vt:variant>
      <vt:variant>
        <vt:i4>7209006</vt:i4>
      </vt:variant>
      <vt:variant>
        <vt:i4>39</vt:i4>
      </vt:variant>
      <vt:variant>
        <vt:i4>0</vt:i4>
      </vt:variant>
      <vt:variant>
        <vt:i4>5</vt:i4>
      </vt:variant>
      <vt:variant>
        <vt:lpwstr>https://www.cbpp.org/sites/default/files/atoms/files/5-20-20sfp.pdf</vt:lpwstr>
      </vt:variant>
      <vt:variant>
        <vt:lpwstr/>
      </vt:variant>
      <vt:variant>
        <vt:i4>7405656</vt:i4>
      </vt:variant>
      <vt:variant>
        <vt:i4>36</vt:i4>
      </vt:variant>
      <vt:variant>
        <vt:i4>0</vt:i4>
      </vt:variant>
      <vt:variant>
        <vt:i4>5</vt:i4>
      </vt:variant>
      <vt:variant>
        <vt:lpwstr>mailto:aangelo@results.org</vt:lpwstr>
      </vt:variant>
      <vt:variant>
        <vt:lpwstr/>
      </vt:variant>
      <vt:variant>
        <vt:i4>1703987</vt:i4>
      </vt:variant>
      <vt:variant>
        <vt:i4>33</vt:i4>
      </vt:variant>
      <vt:variant>
        <vt:i4>0</vt:i4>
      </vt:variant>
      <vt:variant>
        <vt:i4>5</vt:i4>
      </vt:variant>
      <vt:variant>
        <vt:lpwstr>mailto:jrussell@results.org</vt:lpwstr>
      </vt:variant>
      <vt:variant>
        <vt:lpwstr/>
      </vt:variant>
      <vt:variant>
        <vt:i4>6291490</vt:i4>
      </vt:variant>
      <vt:variant>
        <vt:i4>30</vt:i4>
      </vt:variant>
      <vt:variant>
        <vt:i4>0</vt:i4>
      </vt:variant>
      <vt:variant>
        <vt:i4>5</vt:i4>
      </vt:variant>
      <vt:variant>
        <vt:lpwstr>https://twitter.com/dwschanz/status/1268893728170815488</vt:lpwstr>
      </vt:variant>
      <vt:variant>
        <vt:lpwstr/>
      </vt:variant>
      <vt:variant>
        <vt:i4>1703987</vt:i4>
      </vt:variant>
      <vt:variant>
        <vt:i4>27</vt:i4>
      </vt:variant>
      <vt:variant>
        <vt:i4>0</vt:i4>
      </vt:variant>
      <vt:variant>
        <vt:i4>5</vt:i4>
      </vt:variant>
      <vt:variant>
        <vt:lpwstr>mailto:jrussell@results.org</vt:lpwstr>
      </vt:variant>
      <vt:variant>
        <vt:lpwstr/>
      </vt:variant>
      <vt:variant>
        <vt:i4>1703987</vt:i4>
      </vt:variant>
      <vt:variant>
        <vt:i4>24</vt:i4>
      </vt:variant>
      <vt:variant>
        <vt:i4>0</vt:i4>
      </vt:variant>
      <vt:variant>
        <vt:i4>5</vt:i4>
      </vt:variant>
      <vt:variant>
        <vt:lpwstr>mailto:jrussell@results.org</vt:lpwstr>
      </vt:variant>
      <vt:variant>
        <vt:lpwstr/>
      </vt:variant>
      <vt:variant>
        <vt:i4>3932189</vt:i4>
      </vt:variant>
      <vt:variant>
        <vt:i4>21</vt:i4>
      </vt:variant>
      <vt:variant>
        <vt:i4>0</vt:i4>
      </vt:variant>
      <vt:variant>
        <vt:i4>5</vt:i4>
      </vt:variant>
      <vt:variant>
        <vt:lpwstr>https://nlihc.org/sites/default/files/Need-for-Rental-Assistance-During-the-COVID-19-and-Economic-Crisis.pdf?utm_source=NLIHC+All+Subscribers&amp;utm_campaign=a8f9c7e1cc-update_040720&amp;utm_medium=email&amp;utm_term=0_e090383b5e-a8f9c7e1cc-293258525&amp;ct=t(update_040720)</vt:lpwstr>
      </vt:variant>
      <vt:variant>
        <vt:lpwstr/>
      </vt:variant>
      <vt:variant>
        <vt:i4>3932189</vt:i4>
      </vt:variant>
      <vt:variant>
        <vt:i4>18</vt:i4>
      </vt:variant>
      <vt:variant>
        <vt:i4>0</vt:i4>
      </vt:variant>
      <vt:variant>
        <vt:i4>5</vt:i4>
      </vt:variant>
      <vt:variant>
        <vt:lpwstr>https://nlihc.org/sites/default/files/Need-for-Rental-Assistance-During-the-COVID-19-and-Economic-Crisis.pdf?utm_source=NLIHC+All+Subscribers&amp;utm_campaign=a8f9c7e1cc-update_040720&amp;utm_medium=email&amp;utm_term=0_e090383b5e-a8f9c7e1cc-293258525&amp;ct=t(update_040720)</vt:lpwstr>
      </vt:variant>
      <vt:variant>
        <vt:lpwstr/>
      </vt:variant>
      <vt:variant>
        <vt:i4>8192037</vt:i4>
      </vt:variant>
      <vt:variant>
        <vt:i4>15</vt:i4>
      </vt:variant>
      <vt:variant>
        <vt:i4>0</vt:i4>
      </vt:variant>
      <vt:variant>
        <vt:i4>5</vt:i4>
      </vt:variant>
      <vt:variant>
        <vt:lpwstr>https://nlihc.org/sites/default/files/COVID-paper-Culhane-et-al-final-word.pdf</vt:lpwstr>
      </vt:variant>
      <vt:variant>
        <vt:lpwstr/>
      </vt:variant>
      <vt:variant>
        <vt:i4>8192037</vt:i4>
      </vt:variant>
      <vt:variant>
        <vt:i4>12</vt:i4>
      </vt:variant>
      <vt:variant>
        <vt:i4>0</vt:i4>
      </vt:variant>
      <vt:variant>
        <vt:i4>5</vt:i4>
      </vt:variant>
      <vt:variant>
        <vt:lpwstr>https://nlihc.org/sites/default/files/COVID-paper-Culhane-et-al-final-word.pdf</vt:lpwstr>
      </vt:variant>
      <vt:variant>
        <vt:lpwstr/>
      </vt:variant>
      <vt:variant>
        <vt:i4>7405656</vt:i4>
      </vt:variant>
      <vt:variant>
        <vt:i4>9</vt:i4>
      </vt:variant>
      <vt:variant>
        <vt:i4>0</vt:i4>
      </vt:variant>
      <vt:variant>
        <vt:i4>5</vt:i4>
      </vt:variant>
      <vt:variant>
        <vt:lpwstr>mailto:aangelo@results.org</vt:lpwstr>
      </vt:variant>
      <vt:variant>
        <vt:lpwstr/>
      </vt:variant>
      <vt:variant>
        <vt:i4>7405656</vt:i4>
      </vt:variant>
      <vt:variant>
        <vt:i4>6</vt:i4>
      </vt:variant>
      <vt:variant>
        <vt:i4>0</vt:i4>
      </vt:variant>
      <vt:variant>
        <vt:i4>5</vt:i4>
      </vt:variant>
      <vt:variant>
        <vt:lpwstr>mailto:aangelo@results.org</vt:lpwstr>
      </vt:variant>
      <vt:variant>
        <vt:lpwstr/>
      </vt:variant>
      <vt:variant>
        <vt:i4>7012459</vt:i4>
      </vt:variant>
      <vt:variant>
        <vt:i4>3</vt:i4>
      </vt:variant>
      <vt:variant>
        <vt:i4>0</vt:i4>
      </vt:variant>
      <vt:variant>
        <vt:i4>5</vt:i4>
      </vt:variant>
      <vt:variant>
        <vt:lpwstr>https://www.census.gov/content/dam/Census/library/visualizations/2019/demo/p60-268/figure8.pdf</vt:lpwstr>
      </vt:variant>
      <vt:variant>
        <vt:lpwstr/>
      </vt:variant>
      <vt:variant>
        <vt:i4>7405656</vt:i4>
      </vt:variant>
      <vt:variant>
        <vt:i4>0</vt:i4>
      </vt:variant>
      <vt:variant>
        <vt:i4>0</vt:i4>
      </vt:variant>
      <vt:variant>
        <vt:i4>5</vt:i4>
      </vt:variant>
      <vt:variant>
        <vt:lpwstr>mailto:aangelo@results.org</vt:lpwstr>
      </vt:variant>
      <vt:variant>
        <vt:lpwstr/>
      </vt:variant>
      <vt:variant>
        <vt:i4>655455</vt:i4>
      </vt:variant>
      <vt:variant>
        <vt:i4>6</vt:i4>
      </vt:variant>
      <vt:variant>
        <vt:i4>0</vt:i4>
      </vt:variant>
      <vt:variant>
        <vt:i4>5</vt:i4>
      </vt:variant>
      <vt:variant>
        <vt:lpwstr>http://www.encyclopedia.chicagohistory.org/pages/27.html</vt:lpwstr>
      </vt:variant>
      <vt:variant>
        <vt:lpwstr/>
      </vt:variant>
      <vt:variant>
        <vt:i4>3997805</vt:i4>
      </vt:variant>
      <vt:variant>
        <vt:i4>3</vt:i4>
      </vt:variant>
      <vt:variant>
        <vt:i4>0</vt:i4>
      </vt:variant>
      <vt:variant>
        <vt:i4>5</vt:i4>
      </vt:variant>
      <vt:variant>
        <vt:lpwstr>http://www.encyclopedia.chicagohistory.org/pages/1045.html</vt:lpwstr>
      </vt:variant>
      <vt:variant>
        <vt:lpwstr/>
      </vt:variant>
      <vt:variant>
        <vt:i4>15</vt:i4>
      </vt:variant>
      <vt:variant>
        <vt:i4>0</vt:i4>
      </vt:variant>
      <vt:variant>
        <vt:i4>0</vt:i4>
      </vt:variant>
      <vt:variant>
        <vt:i4>5</vt:i4>
      </vt:variant>
      <vt:variant>
        <vt:lpwstr>http://www.encyclopedia.chicagohistory.org/pages/883.html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Dodson, Alexa Angelo, Jessi Russell</dc:creator>
  <cp:keywords/>
  <dc:description/>
  <cp:lastModifiedBy>Meredith Dodson</cp:lastModifiedBy>
  <cp:revision>24</cp:revision>
  <cp:lastPrinted>2020-06-06T13:00:00Z</cp:lastPrinted>
  <dcterms:created xsi:type="dcterms:W3CDTF">2020-06-06T12:30:00Z</dcterms:created>
  <dcterms:modified xsi:type="dcterms:W3CDTF">2020-06-06T13:00:00Z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0x010100E1DF2243E6C85A4794611ACAEA088222</vt:lpwstr>
  </property>
</Properties>
</file>