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EA3E9" w14:textId="454ABC65" w:rsidR="004B6366" w:rsidRDefault="7C3B1275" w:rsidP="7C3B1275">
      <w:pPr>
        <w:spacing w:after="200"/>
        <w:jc w:val="center"/>
        <w:rPr>
          <w:rFonts w:ascii="Lato Regular" w:eastAsia="Lato Regular" w:hAnsi="Lato Regular" w:cs="Lato Regular"/>
          <w:color w:val="C00000"/>
          <w:sz w:val="40"/>
          <w:szCs w:val="40"/>
        </w:rPr>
      </w:pPr>
      <w:bookmarkStart w:id="0" w:name="_Hlk9939353"/>
      <w:bookmarkEnd w:id="0"/>
      <w:r w:rsidRPr="7C3B1275">
        <w:rPr>
          <w:rFonts w:ascii="Lato Regular" w:eastAsia="Lato Regular" w:hAnsi="Lato Regular" w:cs="Lato Regular"/>
          <w:color w:val="C00000"/>
          <w:sz w:val="40"/>
          <w:szCs w:val="40"/>
        </w:rPr>
        <w:t>2019 RESULTS US Poverty Racial Wealth Inequality Conference Briefing</w:t>
      </w:r>
      <w:r w:rsidR="00A756C8">
        <w:rPr>
          <w:rFonts w:ascii="Lato Regular" w:eastAsia="Lato Regular" w:hAnsi="Lato Regular" w:cs="Lato Regular"/>
          <w:color w:val="C00000"/>
          <w:sz w:val="40"/>
          <w:szCs w:val="40"/>
        </w:rPr>
        <w:t xml:space="preserve"> Packet</w:t>
      </w:r>
    </w:p>
    <w:p w14:paraId="33473AD2" w14:textId="1B3CD7F0" w:rsidR="49C91CAC" w:rsidRDefault="00AF0329" w:rsidP="00AF0329">
      <w:pPr>
        <w:spacing w:after="200"/>
        <w:jc w:val="center"/>
        <w:rPr>
          <w:rFonts w:ascii="Lato Regular" w:eastAsia="Lato Regular" w:hAnsi="Lato Regular" w:cs="Lato Regular"/>
          <w:color w:val="C00000"/>
          <w:sz w:val="40"/>
          <w:szCs w:val="40"/>
        </w:rPr>
      </w:pPr>
      <w:r w:rsidRPr="32122C09">
        <w:rPr>
          <w:rFonts w:ascii="Lato Regular" w:eastAsia="Lato Regular" w:hAnsi="Lato Regular" w:cs="Lato Regular"/>
          <w:color w:val="C00000"/>
          <w:sz w:val="40"/>
          <w:szCs w:val="40"/>
        </w:rPr>
        <w:t xml:space="preserve">Section </w:t>
      </w:r>
      <w:r>
        <w:rPr>
          <w:rFonts w:ascii="Lato Regular" w:eastAsia="Lato Regular" w:hAnsi="Lato Regular" w:cs="Lato Regular"/>
          <w:color w:val="C00000"/>
          <w:sz w:val="40"/>
          <w:szCs w:val="40"/>
        </w:rPr>
        <w:t xml:space="preserve">2: </w:t>
      </w:r>
      <w:r w:rsidR="00D677E0">
        <w:rPr>
          <w:rFonts w:ascii="Lato Regular" w:eastAsia="Lato Regular" w:hAnsi="Lato Regular" w:cs="Lato Regular"/>
          <w:color w:val="C00000"/>
          <w:sz w:val="40"/>
          <w:szCs w:val="40"/>
        </w:rPr>
        <w:t>The Creation of Wealth Inequality</w:t>
      </w:r>
      <w:r w:rsidR="00284194">
        <w:rPr>
          <w:rFonts w:ascii="Lato Regular" w:eastAsia="Lato Regular" w:hAnsi="Lato Regular" w:cs="Lato Regular"/>
          <w:color w:val="C00000"/>
          <w:sz w:val="40"/>
          <w:szCs w:val="40"/>
        </w:rPr>
        <w:t xml:space="preserve"> </w:t>
      </w:r>
    </w:p>
    <w:p w14:paraId="62843ABF" w14:textId="0834DA93" w:rsidR="49C91CAC" w:rsidRDefault="40DB8E3E" w:rsidP="40DB8E3E">
      <w:pPr>
        <w:pStyle w:val="Heading1"/>
        <w:spacing w:before="0"/>
        <w:rPr>
          <w:rFonts w:ascii="Helvetica" w:eastAsia="Helvetica" w:hAnsi="Helvetica" w:cs="Helvetica"/>
          <w:b/>
          <w:bCs/>
          <w:color w:val="C00000"/>
          <w:sz w:val="48"/>
          <w:szCs w:val="48"/>
        </w:rPr>
      </w:pPr>
      <w:r w:rsidRPr="40DB8E3E">
        <w:rPr>
          <w:rFonts w:ascii="Helvetica" w:eastAsia="Helvetica" w:hAnsi="Helvetica" w:cs="Helvetica"/>
          <w:b/>
          <w:bCs/>
          <w:color w:val="C00000"/>
          <w:sz w:val="48"/>
          <w:szCs w:val="48"/>
        </w:rPr>
        <w:t xml:space="preserve">Legacies of Wealth Creation  </w:t>
      </w:r>
    </w:p>
    <w:p w14:paraId="31EC48D4" w14:textId="43807A2D" w:rsidR="49C91CAC" w:rsidRDefault="49C91CAC" w:rsidP="49C91CAC">
      <w:pPr>
        <w:rPr>
          <w:rFonts w:ascii="Arial" w:eastAsia="Arial" w:hAnsi="Arial" w:cs="Arial"/>
          <w:color w:val="C00000"/>
        </w:rPr>
      </w:pPr>
      <w:r w:rsidRPr="49C91CAC">
        <w:rPr>
          <w:rFonts w:ascii="Arial" w:hAnsi="Arial" w:cs="Arial"/>
          <w:color w:val="C00000"/>
        </w:rPr>
        <w:t>—</w:t>
      </w:r>
      <w:r w:rsidRPr="49C91CAC">
        <w:rPr>
          <w:rFonts w:ascii="Arial" w:eastAsia="Arial" w:hAnsi="Arial" w:cs="Arial"/>
          <w:color w:val="C00000"/>
        </w:rPr>
        <w:t>—————————————————————————————————————————</w:t>
      </w:r>
    </w:p>
    <w:p w14:paraId="60D7D698" w14:textId="73575E3E" w:rsidR="00721B75" w:rsidRPr="00F819AD" w:rsidRDefault="00721B75" w:rsidP="00F819AD">
      <w:pPr>
        <w:spacing w:after="120" w:line="276" w:lineRule="auto"/>
        <w:rPr>
          <w:rFonts w:ascii="Arial" w:eastAsia="Arial" w:hAnsi="Arial" w:cs="Arial"/>
          <w:b/>
          <w:color w:val="C00000"/>
          <w:sz w:val="36"/>
          <w:szCs w:val="36"/>
        </w:rPr>
      </w:pPr>
      <w:r w:rsidRPr="00F819AD">
        <w:rPr>
          <w:rFonts w:ascii="Arial" w:eastAsia="Arial" w:hAnsi="Arial" w:cs="Arial"/>
          <w:b/>
          <w:color w:val="C00000"/>
          <w:sz w:val="36"/>
          <w:szCs w:val="36"/>
        </w:rPr>
        <w:t>How Did We Get Here? The History Behind Housing Segregation and Racial Wealth Inequality</w:t>
      </w:r>
    </w:p>
    <w:p w14:paraId="53506C8B" w14:textId="2E8B1A78" w:rsidR="00721B75" w:rsidRPr="00F819AD" w:rsidRDefault="001D7E2B" w:rsidP="52A2ACDF">
      <w:pPr>
        <w:spacing w:after="120" w:line="276" w:lineRule="auto"/>
        <w:rPr>
          <w:rFonts w:ascii="Helvetica" w:eastAsia="Helvetica" w:hAnsi="Helvetica" w:cs="Helvetica"/>
        </w:rPr>
      </w:pPr>
      <w:bookmarkStart w:id="1" w:name="_Hlk518054333"/>
      <w:r w:rsidRPr="00C546C8">
        <w:rPr>
          <w:rFonts w:ascii="Helvetica" w:hAnsi="Helvetica" w:cs="Helvetica"/>
        </w:rPr>
        <w:t>Research</w:t>
      </w:r>
      <w:r w:rsidR="00790C85">
        <w:rPr>
          <w:rFonts w:ascii="Helvetica" w:hAnsi="Helvetica" w:cs="Helvetica"/>
        </w:rPr>
        <w:t xml:space="preserve">ers </w:t>
      </w:r>
      <w:r w:rsidR="00974063">
        <w:rPr>
          <w:rFonts w:ascii="Helvetica" w:hAnsi="Helvetica" w:cs="Helvetica"/>
        </w:rPr>
        <w:t xml:space="preserve">(and previous RESULTS conference speakers) </w:t>
      </w:r>
      <w:r>
        <w:rPr>
          <w:rFonts w:ascii="Helvetica" w:hAnsi="Helvetica" w:cs="Helvetica"/>
        </w:rPr>
        <w:t xml:space="preserve">Emmanuel Nieves and </w:t>
      </w:r>
      <w:proofErr w:type="spellStart"/>
      <w:r>
        <w:rPr>
          <w:rFonts w:ascii="Helvetica" w:hAnsi="Helvetica" w:cs="Helvetica"/>
        </w:rPr>
        <w:t>Dedrick</w:t>
      </w:r>
      <w:proofErr w:type="spellEnd"/>
      <w:r>
        <w:rPr>
          <w:rFonts w:ascii="Helvetica" w:hAnsi="Helvetica" w:cs="Helvetica"/>
        </w:rPr>
        <w:t xml:space="preserve"> Asante-Muhammad</w:t>
      </w:r>
      <w:r w:rsidR="00721B75" w:rsidRPr="00C6344F">
        <w:rPr>
          <w:rFonts w:ascii="Helvetica" w:eastAsia="Helvetica" w:hAnsi="Helvetica" w:cs="Helvetica"/>
        </w:rPr>
        <w:t xml:space="preserve"> </w:t>
      </w:r>
      <w:r w:rsidR="00721B75" w:rsidRPr="40DB8E3E">
        <w:rPr>
          <w:rFonts w:ascii="Helvetica" w:eastAsia="Helvetica" w:hAnsi="Helvetica" w:cs="Helvetica"/>
        </w:rPr>
        <w:t>point to the role of federal policies as the historical drivers of racial wealth inequality, arguing that, “the racial wealth divide is the natural byproduct of an endless series of policy choices that have boosted the ability of White Americans to build long-term wealth, while blocking communities of color from doing the same.</w:t>
      </w:r>
      <w:bookmarkEnd w:id="1"/>
      <w:r w:rsidR="00AF283E" w:rsidRPr="40DB8E3E">
        <w:rPr>
          <w:rFonts w:ascii="Helvetica" w:eastAsia="Helvetica" w:hAnsi="Helvetica" w:cs="Helvetica"/>
        </w:rPr>
        <w:t>”</w:t>
      </w:r>
      <w:r w:rsidR="000549FF" w:rsidRPr="40DB8E3E">
        <w:rPr>
          <w:rStyle w:val="FootnoteReference"/>
          <w:rFonts w:ascii="Helvetica" w:eastAsia="Helvetica" w:hAnsi="Helvetica" w:cs="Helvetica"/>
        </w:rPr>
        <w:footnoteReference w:id="2"/>
      </w:r>
      <w:r w:rsidR="00721B75" w:rsidRPr="40DB8E3E">
        <w:rPr>
          <w:rFonts w:ascii="Helvetica" w:eastAsia="Helvetica" w:hAnsi="Helvetica" w:cs="Helvetica"/>
        </w:rPr>
        <w:t xml:space="preserve"> Figure </w:t>
      </w:r>
      <w:r w:rsidR="007843B4">
        <w:rPr>
          <w:rFonts w:ascii="Helvetica" w:eastAsia="Helvetica" w:hAnsi="Helvetica" w:cs="Helvetica"/>
        </w:rPr>
        <w:t>1</w:t>
      </w:r>
      <w:r w:rsidR="003F258F" w:rsidRPr="40DB8E3E">
        <w:rPr>
          <w:rFonts w:ascii="Helvetica" w:eastAsia="Helvetica" w:hAnsi="Helvetica" w:cs="Helvetica"/>
        </w:rPr>
        <w:t xml:space="preserve"> </w:t>
      </w:r>
      <w:r w:rsidR="00721B75" w:rsidRPr="40DB8E3E">
        <w:rPr>
          <w:rFonts w:ascii="Helvetica" w:eastAsia="Helvetica" w:hAnsi="Helvetica" w:cs="Helvetica"/>
        </w:rPr>
        <w:t xml:space="preserve">depicts some of the major policies dating back to the Civil War era that laid the structural foundation for the racial wealth disparities present today. </w:t>
      </w:r>
    </w:p>
    <w:p w14:paraId="4C21C980" w14:textId="1B410494" w:rsidR="008D6FCA" w:rsidRPr="00F6022F" w:rsidRDefault="00CE539B" w:rsidP="00F819AD">
      <w:pPr>
        <w:keepNext/>
        <w:spacing w:after="120" w:line="276" w:lineRule="auto"/>
        <w:jc w:val="center"/>
        <w:rPr>
          <w:rFonts w:ascii="Helvetica" w:hAnsi="Helvetica" w:cs="Helvetica"/>
        </w:rPr>
      </w:pPr>
      <w:r w:rsidRPr="00CE539B">
        <w:rPr>
          <w:rFonts w:ascii="Helvetica" w:hAnsi="Helvetica" w:cs="Helvetica"/>
          <w:noProof/>
        </w:rPr>
        <w:lastRenderedPageBreak/>
        <w:drawing>
          <wp:inline distT="0" distB="0" distL="0" distR="0" wp14:anchorId="511E6E1D" wp14:editId="16F085EE">
            <wp:extent cx="5943600" cy="4814570"/>
            <wp:effectExtent l="0" t="0" r="0" b="24130"/>
            <wp:docPr id="15" name="Diagram 15">
              <a:extLst xmlns:a="http://schemas.openxmlformats.org/drawingml/2006/main">
                <a:ext uri="{FF2B5EF4-FFF2-40B4-BE49-F238E27FC236}">
                  <a16:creationId xmlns:a16="http://schemas.microsoft.com/office/drawing/2014/main" id="{A1AA270A-D069-413B-A2EA-454646B7902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F60FCD7" w14:textId="1AF71B21" w:rsidR="00721B75" w:rsidRPr="00F819AD" w:rsidRDefault="008D6FCA" w:rsidP="00F819AD">
      <w:pPr>
        <w:pStyle w:val="Caption"/>
        <w:spacing w:after="120"/>
        <w:jc w:val="center"/>
        <w:rPr>
          <w:rFonts w:ascii="Helvetica" w:eastAsia="Helvetica" w:hAnsi="Helvetica" w:cs="Helvetica"/>
          <w:color w:val="000000" w:themeColor="text1"/>
        </w:rPr>
      </w:pPr>
      <w:r w:rsidRPr="00F819AD">
        <w:rPr>
          <w:rFonts w:ascii="Helvetica" w:eastAsia="Helvetica" w:hAnsi="Helvetica" w:cs="Helvetica"/>
          <w:color w:val="000000" w:themeColor="text1"/>
          <w:sz w:val="22"/>
          <w:szCs w:val="22"/>
        </w:rPr>
        <w:t xml:space="preserve">Figure </w:t>
      </w:r>
      <w:r w:rsidR="007843B4">
        <w:rPr>
          <w:rFonts w:ascii="Helvetica" w:eastAsia="Helvetica" w:hAnsi="Helvetica" w:cs="Helvetica"/>
          <w:color w:val="000000" w:themeColor="text1"/>
          <w:sz w:val="22"/>
          <w:szCs w:val="22"/>
        </w:rPr>
        <w:t>1</w:t>
      </w:r>
      <w:r w:rsidR="00CE539B" w:rsidRPr="00F819AD">
        <w:rPr>
          <w:rStyle w:val="FootnoteReference"/>
          <w:rFonts w:ascii="Helvetica" w:eastAsia="Helvetica" w:hAnsi="Helvetica" w:cs="Helvetica"/>
          <w:color w:val="000000" w:themeColor="text1"/>
          <w:sz w:val="22"/>
          <w:szCs w:val="22"/>
        </w:rPr>
        <w:footnoteReference w:id="3"/>
      </w:r>
      <w:r w:rsidR="00CE539B" w:rsidRPr="00F819AD">
        <w:rPr>
          <w:rFonts w:ascii="Helvetica" w:eastAsia="Helvetica" w:hAnsi="Helvetica" w:cs="Helvetica"/>
          <w:color w:val="000000" w:themeColor="text1"/>
          <w:sz w:val="22"/>
          <w:szCs w:val="22"/>
        </w:rPr>
        <w:t xml:space="preserve"> </w:t>
      </w:r>
    </w:p>
    <w:p w14:paraId="7CA20A93" w14:textId="77777777" w:rsidR="00CE539B" w:rsidRDefault="00CE539B" w:rsidP="00F819AD">
      <w:pPr>
        <w:spacing w:after="120" w:line="276" w:lineRule="auto"/>
        <w:rPr>
          <w:rFonts w:ascii="Helvetica" w:eastAsia="Helvetica" w:hAnsi="Helvetica" w:cs="Helvetica"/>
          <w:b/>
          <w:sz w:val="28"/>
          <w:szCs w:val="28"/>
        </w:rPr>
      </w:pPr>
    </w:p>
    <w:p w14:paraId="20083365" w14:textId="21EF83DA" w:rsidR="00721B75" w:rsidRPr="00F819AD" w:rsidRDefault="00721B75" w:rsidP="00F819AD">
      <w:pPr>
        <w:spacing w:after="120" w:line="276" w:lineRule="auto"/>
        <w:rPr>
          <w:rFonts w:ascii="Helvetica" w:eastAsia="Helvetica" w:hAnsi="Helvetica" w:cs="Helvetica"/>
          <w:b/>
          <w:sz w:val="28"/>
          <w:szCs w:val="28"/>
        </w:rPr>
      </w:pPr>
      <w:r w:rsidRPr="00F819AD">
        <w:rPr>
          <w:rFonts w:ascii="Helvetica" w:eastAsia="Helvetica" w:hAnsi="Helvetica" w:cs="Helvetica"/>
          <w:b/>
          <w:bCs/>
          <w:sz w:val="28"/>
          <w:szCs w:val="28"/>
        </w:rPr>
        <w:t>New Deal Era Housing Policy</w:t>
      </w:r>
    </w:p>
    <w:p w14:paraId="75A8615C" w14:textId="6E21F117" w:rsidR="00721B75" w:rsidRPr="00F819AD" w:rsidRDefault="304F8138" w:rsidP="00F819AD">
      <w:pPr>
        <w:spacing w:after="120" w:line="276" w:lineRule="auto"/>
        <w:rPr>
          <w:rFonts w:ascii="Helvetica" w:eastAsia="Helvetica" w:hAnsi="Helvetica" w:cs="Helvetica"/>
          <w:b/>
          <w:bCs/>
          <w:sz w:val="28"/>
          <w:szCs w:val="28"/>
        </w:rPr>
      </w:pPr>
      <w:r w:rsidRPr="00F819AD">
        <w:rPr>
          <w:rFonts w:ascii="Helvetica" w:eastAsia="Helvetica" w:hAnsi="Helvetica" w:cs="Helvetica"/>
        </w:rPr>
        <w:t xml:space="preserve">The racial wealth gap of today has its roots in centuries of economic exploitation on the part of wealthy, </w:t>
      </w:r>
      <w:r w:rsidR="00994E4E">
        <w:rPr>
          <w:rFonts w:ascii="Helvetica" w:eastAsia="Helvetica" w:hAnsi="Helvetica" w:cs="Helvetica"/>
        </w:rPr>
        <w:t>W</w:t>
      </w:r>
      <w:r w:rsidRPr="00F819AD">
        <w:rPr>
          <w:rFonts w:ascii="Helvetica" w:eastAsia="Helvetica" w:hAnsi="Helvetica" w:cs="Helvetica"/>
        </w:rPr>
        <w:t xml:space="preserve">hite colonists. Beginning with the forced removal of Native Americans from their land and then the enslavement of African Americans to work the land for cash crops, the foundation </w:t>
      </w:r>
      <w:r w:rsidRPr="00F819AD">
        <w:rPr>
          <w:rFonts w:ascii="Helvetica" w:eastAsia="Helvetica" w:hAnsi="Helvetica" w:cs="Helvetica"/>
        </w:rPr>
        <w:lastRenderedPageBreak/>
        <w:t xml:space="preserve">of wealth inequality between </w:t>
      </w:r>
      <w:r w:rsidR="00994E4E">
        <w:rPr>
          <w:rFonts w:ascii="Helvetica" w:eastAsia="Helvetica" w:hAnsi="Helvetica" w:cs="Helvetica"/>
        </w:rPr>
        <w:t>W</w:t>
      </w:r>
      <w:r w:rsidRPr="00F819AD">
        <w:rPr>
          <w:rFonts w:ascii="Helvetica" w:eastAsia="Helvetica" w:hAnsi="Helvetica" w:cs="Helvetica"/>
        </w:rPr>
        <w:t xml:space="preserve">hites and people of color was built before the nation's founding. </w:t>
      </w:r>
      <w:r w:rsidR="00880DB4">
        <w:rPr>
          <w:rFonts w:ascii="Helvetica" w:eastAsia="Helvetica" w:hAnsi="Helvetica" w:cs="Helvetica"/>
        </w:rPr>
        <w:t>Nearly a</w:t>
      </w:r>
      <w:r w:rsidR="00F26F9D">
        <w:rPr>
          <w:rFonts w:ascii="Helvetica" w:eastAsia="Helvetica" w:hAnsi="Helvetica" w:cs="Helvetica"/>
        </w:rPr>
        <w:t xml:space="preserve"> centur</w:t>
      </w:r>
      <w:r w:rsidR="00C238AB">
        <w:rPr>
          <w:rFonts w:ascii="Helvetica" w:eastAsia="Helvetica" w:hAnsi="Helvetica" w:cs="Helvetica"/>
        </w:rPr>
        <w:t>y</w:t>
      </w:r>
      <w:r w:rsidR="0086353B">
        <w:rPr>
          <w:rFonts w:ascii="Helvetica" w:eastAsia="Helvetica" w:hAnsi="Helvetica" w:cs="Helvetica"/>
        </w:rPr>
        <w:t xml:space="preserve"> of Jim </w:t>
      </w:r>
      <w:r w:rsidR="00401073">
        <w:rPr>
          <w:rFonts w:ascii="Helvetica" w:eastAsia="Helvetica" w:hAnsi="Helvetica" w:cs="Helvetica"/>
        </w:rPr>
        <w:t xml:space="preserve">Crow </w:t>
      </w:r>
      <w:r w:rsidR="003529AE">
        <w:rPr>
          <w:rFonts w:ascii="Helvetica" w:eastAsia="Helvetica" w:hAnsi="Helvetica" w:cs="Helvetica"/>
        </w:rPr>
        <w:t xml:space="preserve">segregation </w:t>
      </w:r>
      <w:r w:rsidR="00B7495B">
        <w:rPr>
          <w:rFonts w:ascii="Helvetica" w:eastAsia="Helvetica" w:hAnsi="Helvetica" w:cs="Helvetica"/>
        </w:rPr>
        <w:t xml:space="preserve">maintained </w:t>
      </w:r>
      <w:r w:rsidR="002941EA">
        <w:rPr>
          <w:rFonts w:ascii="Helvetica" w:eastAsia="Helvetica" w:hAnsi="Helvetica" w:cs="Helvetica"/>
        </w:rPr>
        <w:t>the</w:t>
      </w:r>
      <w:r w:rsidR="004C4FB2">
        <w:rPr>
          <w:rFonts w:ascii="Helvetica" w:eastAsia="Helvetica" w:hAnsi="Helvetica" w:cs="Helvetica"/>
        </w:rPr>
        <w:t xml:space="preserve"> </w:t>
      </w:r>
      <w:r w:rsidR="002735A3">
        <w:rPr>
          <w:rFonts w:ascii="Helvetica" w:eastAsia="Helvetica" w:hAnsi="Helvetica" w:cs="Helvetica"/>
        </w:rPr>
        <w:t xml:space="preserve">use of </w:t>
      </w:r>
      <w:r w:rsidR="004C4FB2">
        <w:rPr>
          <w:rFonts w:ascii="Helvetica" w:eastAsia="Helvetica" w:hAnsi="Helvetica" w:cs="Helvetica"/>
        </w:rPr>
        <w:t>legislation and violence</w:t>
      </w:r>
      <w:r w:rsidR="002941EA">
        <w:rPr>
          <w:rFonts w:ascii="Helvetica" w:eastAsia="Helvetica" w:hAnsi="Helvetica" w:cs="Helvetica"/>
        </w:rPr>
        <w:t xml:space="preserve"> to</w:t>
      </w:r>
      <w:r w:rsidR="00CA18B5">
        <w:rPr>
          <w:rFonts w:ascii="Helvetica" w:eastAsia="Helvetica" w:hAnsi="Helvetica" w:cs="Helvetica"/>
        </w:rPr>
        <w:t xml:space="preserve"> perpetuate inequality.</w:t>
      </w:r>
      <w:r w:rsidR="00C238AB">
        <w:rPr>
          <w:rStyle w:val="FootnoteReference"/>
          <w:rFonts w:ascii="Helvetica" w:eastAsia="Helvetica" w:hAnsi="Helvetica" w:cs="Helvetica"/>
        </w:rPr>
        <w:footnoteReference w:id="4"/>
      </w:r>
      <w:r w:rsidR="00B30B27">
        <w:rPr>
          <w:rFonts w:ascii="Helvetica" w:eastAsia="Helvetica" w:hAnsi="Helvetica" w:cs="Helvetica"/>
          <w:vertAlign w:val="superscript"/>
        </w:rPr>
        <w:t>&amp;</w:t>
      </w:r>
      <w:r w:rsidR="00B30B27">
        <w:rPr>
          <w:rStyle w:val="FootnoteReference"/>
          <w:rFonts w:ascii="Helvetica" w:eastAsia="Helvetica" w:hAnsi="Helvetica" w:cs="Helvetica"/>
        </w:rPr>
        <w:footnoteReference w:id="5"/>
      </w:r>
      <w:r w:rsidR="002941EA">
        <w:rPr>
          <w:rFonts w:ascii="Helvetica" w:eastAsia="Helvetica" w:hAnsi="Helvetica" w:cs="Helvetica"/>
        </w:rPr>
        <w:t xml:space="preserve"> </w:t>
      </w:r>
      <w:r w:rsidR="00D55D80">
        <w:rPr>
          <w:rFonts w:ascii="Helvetica" w:eastAsia="Helvetica" w:hAnsi="Helvetica" w:cs="Helvetica"/>
        </w:rPr>
        <w:t>During this time,</w:t>
      </w:r>
      <w:r w:rsidRPr="00F819AD">
        <w:rPr>
          <w:rFonts w:ascii="Helvetica" w:eastAsia="Helvetica" w:hAnsi="Helvetica" w:cs="Helvetica"/>
        </w:rPr>
        <w:t xml:space="preserve"> </w:t>
      </w:r>
      <w:hyperlink r:id="rId16" w:history="1">
        <w:r w:rsidRPr="00F819AD">
          <w:rPr>
            <w:rStyle w:val="Hyperlink"/>
            <w:rFonts w:ascii="Helvetica" w:eastAsia="Helvetica" w:hAnsi="Helvetica" w:cs="Helvetica"/>
          </w:rPr>
          <w:t>federal housing policies</w:t>
        </w:r>
      </w:hyperlink>
      <w:r w:rsidRPr="00F819AD">
        <w:rPr>
          <w:rFonts w:ascii="Helvetica" w:eastAsia="Helvetica" w:hAnsi="Helvetica" w:cs="Helvetica"/>
        </w:rPr>
        <w:t xml:space="preserve"> of the 1930s New Deal Era profoundly impacted disparities in wealth building</w:t>
      </w:r>
      <w:r w:rsidR="00873CF7">
        <w:rPr>
          <w:rFonts w:ascii="Helvetica" w:eastAsia="Helvetica" w:hAnsi="Helvetica" w:cs="Helvetica"/>
        </w:rPr>
        <w:t xml:space="preserve"> </w:t>
      </w:r>
      <w:r w:rsidR="00721B75" w:rsidRPr="00F819AD">
        <w:rPr>
          <w:rFonts w:ascii="Helvetica" w:eastAsia="Helvetica" w:hAnsi="Helvetica" w:cs="Helvetica"/>
        </w:rPr>
        <w:t xml:space="preserve">opportunities through homeownership and thus economic mobility for </w:t>
      </w:r>
      <w:r w:rsidR="004C46BB">
        <w:rPr>
          <w:rFonts w:ascii="Helvetica" w:eastAsia="Helvetica" w:hAnsi="Helvetica" w:cs="Helvetica"/>
        </w:rPr>
        <w:t xml:space="preserve">White </w:t>
      </w:r>
      <w:r w:rsidR="00721B75" w:rsidRPr="00F819AD">
        <w:rPr>
          <w:rFonts w:ascii="Helvetica" w:eastAsia="Helvetica" w:hAnsi="Helvetica" w:cs="Helvetica"/>
        </w:rPr>
        <w:t>Americans in the 20</w:t>
      </w:r>
      <w:r w:rsidR="00721B75" w:rsidRPr="00F819AD">
        <w:rPr>
          <w:rFonts w:ascii="Helvetica" w:eastAsia="Helvetica" w:hAnsi="Helvetica" w:cs="Helvetica"/>
          <w:vertAlign w:val="superscript"/>
        </w:rPr>
        <w:t>th</w:t>
      </w:r>
      <w:r w:rsidR="00721B75" w:rsidRPr="00F819AD">
        <w:rPr>
          <w:rFonts w:ascii="Helvetica" w:eastAsia="Helvetica" w:hAnsi="Helvetica" w:cs="Helvetica"/>
        </w:rPr>
        <w:t xml:space="preserve"> century.</w:t>
      </w:r>
      <w:r w:rsidR="00721B75" w:rsidRPr="00F819AD">
        <w:rPr>
          <w:rStyle w:val="FootnoteReference"/>
          <w:rFonts w:ascii="Helvetica" w:eastAsia="Helvetica" w:hAnsi="Helvetica" w:cs="Helvetica"/>
        </w:rPr>
        <w:footnoteReference w:id="6"/>
      </w:r>
      <w:r w:rsidR="00721B75" w:rsidRPr="00F819AD">
        <w:rPr>
          <w:rFonts w:ascii="Helvetica" w:eastAsia="Helvetica" w:hAnsi="Helvetica" w:cs="Helvetica"/>
        </w:rPr>
        <w:t xml:space="preserve"> Concurrently, these policies effectively enabled racial housing segregation through discriminatory practices in homeownership financing under the Federal Housing Administration </w:t>
      </w:r>
      <w:r w:rsidR="00A254CC">
        <w:rPr>
          <w:rFonts w:ascii="Helvetica" w:eastAsia="Helvetica" w:hAnsi="Helvetica" w:cs="Helvetica"/>
        </w:rPr>
        <w:t xml:space="preserve">(FHA) </w:t>
      </w:r>
      <w:r w:rsidR="00721B75" w:rsidRPr="00F819AD">
        <w:rPr>
          <w:rFonts w:ascii="Helvetica" w:eastAsia="Helvetica" w:hAnsi="Helvetica" w:cs="Helvetica"/>
        </w:rPr>
        <w:t xml:space="preserve">and Department of Veterans Affairs. </w:t>
      </w:r>
    </w:p>
    <w:p w14:paraId="4BF2CBC9" w14:textId="63D8BD8C" w:rsidR="00A254CC" w:rsidRDefault="00721B75" w:rsidP="00F819AD">
      <w:pPr>
        <w:spacing w:after="120" w:line="276" w:lineRule="auto"/>
        <w:rPr>
          <w:rFonts w:ascii="Helvetica" w:eastAsia="Helvetica" w:hAnsi="Helvetica" w:cs="Helvetica"/>
        </w:rPr>
      </w:pPr>
      <w:r w:rsidRPr="00F819AD">
        <w:rPr>
          <w:rFonts w:ascii="Helvetica" w:eastAsia="Helvetica" w:hAnsi="Helvetica" w:cs="Helvetica"/>
        </w:rPr>
        <w:t>Even though racial segregation in housing was outlawed in a 1948 Supreme Court case,</w:t>
      </w:r>
      <w:r w:rsidRPr="00F819AD">
        <w:rPr>
          <w:rStyle w:val="FootnoteReference"/>
          <w:rFonts w:ascii="Helvetica" w:eastAsia="Helvetica" w:hAnsi="Helvetica" w:cs="Helvetica"/>
        </w:rPr>
        <w:footnoteReference w:id="7"/>
      </w:r>
      <w:r w:rsidRPr="00F819AD">
        <w:rPr>
          <w:rFonts w:ascii="Helvetica" w:eastAsia="Helvetica" w:hAnsi="Helvetica" w:cs="Helvetica"/>
        </w:rPr>
        <w:t xml:space="preserve"> the federal government still allowed localities across the country to prevent racial minorities from moving into </w:t>
      </w:r>
      <w:r w:rsidR="00994E4E">
        <w:rPr>
          <w:rFonts w:ascii="Helvetica" w:eastAsia="Helvetica" w:hAnsi="Helvetica" w:cs="Helvetica"/>
        </w:rPr>
        <w:t>W</w:t>
      </w:r>
      <w:r w:rsidRPr="00F819AD">
        <w:rPr>
          <w:rFonts w:ascii="Helvetica" w:eastAsia="Helvetica" w:hAnsi="Helvetica" w:cs="Helvetica"/>
        </w:rPr>
        <w:t xml:space="preserve">hite neighborhoods. </w:t>
      </w:r>
      <w:bookmarkStart w:id="2" w:name="_Hlk518054027"/>
      <w:r w:rsidRPr="005F4CBD">
        <w:rPr>
          <w:rFonts w:ascii="Helvetica" w:eastAsia="Helvetica" w:hAnsi="Helvetica" w:cs="Helvetica"/>
        </w:rPr>
        <w:t>Practices such as blockbusting</w:t>
      </w:r>
      <w:r w:rsidR="00247284" w:rsidRPr="005F4CBD">
        <w:rPr>
          <w:rFonts w:ascii="Helvetica" w:eastAsia="Helvetica" w:hAnsi="Helvetica" w:cs="Helvetica"/>
        </w:rPr>
        <w:t>,</w:t>
      </w:r>
      <w:r w:rsidRPr="005F4CBD">
        <w:rPr>
          <w:rStyle w:val="FootnoteReference"/>
          <w:rFonts w:ascii="Helvetica" w:eastAsia="Helvetica" w:hAnsi="Helvetica" w:cs="Helvetica"/>
          <w:u w:val="single"/>
        </w:rPr>
        <w:footnoteReference w:id="8"/>
      </w:r>
      <w:r w:rsidRPr="005F4CBD">
        <w:rPr>
          <w:rFonts w:ascii="Helvetica" w:eastAsia="Helvetica" w:hAnsi="Helvetica" w:cs="Helvetica"/>
        </w:rPr>
        <w:t xml:space="preserve"> redlining</w:t>
      </w:r>
      <w:r w:rsidR="00247284" w:rsidRPr="005F4CBD">
        <w:rPr>
          <w:rFonts w:ascii="Helvetica" w:eastAsia="Helvetica" w:hAnsi="Helvetica" w:cs="Helvetica"/>
        </w:rPr>
        <w:t>,</w:t>
      </w:r>
      <w:r w:rsidRPr="005F4CBD">
        <w:rPr>
          <w:rStyle w:val="FootnoteReference"/>
          <w:rFonts w:ascii="Helvetica" w:eastAsia="Helvetica" w:hAnsi="Helvetica" w:cs="Helvetica"/>
          <w:u w:val="single"/>
        </w:rPr>
        <w:footnoteReference w:id="9"/>
      </w:r>
      <w:r w:rsidRPr="005F4CBD">
        <w:rPr>
          <w:rFonts w:ascii="Helvetica" w:eastAsia="Helvetica" w:hAnsi="Helvetica" w:cs="Helvetica"/>
        </w:rPr>
        <w:t xml:space="preserve"> and racialized zoning laws</w:t>
      </w:r>
      <w:r w:rsidRPr="005F4CBD">
        <w:rPr>
          <w:rStyle w:val="FootnoteReference"/>
          <w:rFonts w:ascii="Helvetica" w:eastAsia="Helvetica" w:hAnsi="Helvetica" w:cs="Helvetica"/>
          <w:u w:val="single"/>
        </w:rPr>
        <w:footnoteReference w:id="10"/>
      </w:r>
      <w:r w:rsidR="00B30B27">
        <w:rPr>
          <w:rFonts w:ascii="Helvetica" w:eastAsia="Helvetica" w:hAnsi="Helvetica" w:cs="Helvetica"/>
          <w:vertAlign w:val="superscript"/>
        </w:rPr>
        <w:t>&amp;</w:t>
      </w:r>
      <w:r w:rsidR="00B30B27">
        <w:rPr>
          <w:rStyle w:val="FootnoteReference"/>
          <w:rFonts w:ascii="Helvetica" w:eastAsia="Helvetica" w:hAnsi="Helvetica" w:cs="Helvetica"/>
        </w:rPr>
        <w:footnoteReference w:id="11"/>
      </w:r>
      <w:r w:rsidRPr="005F4CBD">
        <w:rPr>
          <w:rFonts w:ascii="Helvetica" w:eastAsia="Helvetica" w:hAnsi="Helvetica" w:cs="Helvetica"/>
        </w:rPr>
        <w:t xml:space="preserve"> created deep segregation and blocked households of color from owning their homes and receiving adequate public investment in their neighborhoods.</w:t>
      </w:r>
      <w:bookmarkEnd w:id="2"/>
      <w:r w:rsidRPr="005F4CBD">
        <w:rPr>
          <w:rStyle w:val="FootnoteReference"/>
          <w:rFonts w:ascii="Helvetica" w:eastAsia="Helvetica" w:hAnsi="Helvetica" w:cs="Helvetica"/>
        </w:rPr>
        <w:footnoteReference w:id="12"/>
      </w:r>
      <w:r w:rsidRPr="005F4CBD">
        <w:rPr>
          <w:rFonts w:ascii="Helvetica" w:eastAsia="Helvetica" w:hAnsi="Helvetica" w:cs="Helvetica"/>
        </w:rPr>
        <w:t xml:space="preserve"> At the same time, many </w:t>
      </w:r>
      <w:r w:rsidR="00994E4E">
        <w:rPr>
          <w:rFonts w:ascii="Helvetica" w:eastAsia="Helvetica" w:hAnsi="Helvetica" w:cs="Helvetica"/>
        </w:rPr>
        <w:t>W</w:t>
      </w:r>
      <w:r w:rsidRPr="005F4CBD">
        <w:rPr>
          <w:rFonts w:ascii="Helvetica" w:eastAsia="Helvetica" w:hAnsi="Helvetica" w:cs="Helvetica"/>
        </w:rPr>
        <w:t xml:space="preserve">hite Americans </w:t>
      </w:r>
      <w:r w:rsidR="00C740EA" w:rsidRPr="005F4CBD">
        <w:rPr>
          <w:rFonts w:ascii="Helvetica" w:eastAsia="Helvetica" w:hAnsi="Helvetica" w:cs="Helvetica"/>
        </w:rPr>
        <w:t>could</w:t>
      </w:r>
      <w:r w:rsidRPr="005F4CBD">
        <w:rPr>
          <w:rFonts w:ascii="Helvetica" w:eastAsia="Helvetica" w:hAnsi="Helvetica" w:cs="Helvetica"/>
        </w:rPr>
        <w:t xml:space="preserve"> buy homes in high opportunity suburbs with </w:t>
      </w:r>
      <w:r w:rsidRPr="00F819AD">
        <w:rPr>
          <w:rFonts w:ascii="Helvetica" w:eastAsia="Helvetica" w:hAnsi="Helvetica" w:cs="Helvetica"/>
        </w:rPr>
        <w:t>support from the federal government in the form of low interest FHA loans.</w:t>
      </w:r>
      <w:r w:rsidR="00057F4F" w:rsidRPr="005F4CBD">
        <w:rPr>
          <w:rStyle w:val="FootnoteReference"/>
          <w:rFonts w:ascii="Helvetica" w:eastAsia="Helvetica" w:hAnsi="Helvetica" w:cs="Helvetica"/>
        </w:rPr>
        <w:footnoteReference w:id="13"/>
      </w:r>
      <w:r w:rsidR="00057F4F">
        <w:rPr>
          <w:rFonts w:ascii="Helvetica" w:eastAsia="Helvetica" w:hAnsi="Helvetica" w:cs="Helvetica"/>
        </w:rPr>
        <w:t xml:space="preserve"> Other policies, like highway projects and disinvestment in public transit in urban centers, disproportionately harmed (and often broke up) communities of color</w:t>
      </w:r>
      <w:r w:rsidR="00615AD4">
        <w:rPr>
          <w:rFonts w:ascii="Helvetica" w:eastAsia="Helvetica" w:hAnsi="Helvetica" w:cs="Helvetica"/>
        </w:rPr>
        <w:t xml:space="preserve"> </w:t>
      </w:r>
      <w:r w:rsidR="0079057A">
        <w:rPr>
          <w:rFonts w:ascii="Helvetica" w:eastAsia="Helvetica" w:hAnsi="Helvetica" w:cs="Helvetica"/>
        </w:rPr>
        <w:t>for the benefit of</w:t>
      </w:r>
      <w:r w:rsidR="00615AD4">
        <w:rPr>
          <w:rFonts w:ascii="Helvetica" w:eastAsia="Helvetica" w:hAnsi="Helvetica" w:cs="Helvetica"/>
        </w:rPr>
        <w:t xml:space="preserve"> </w:t>
      </w:r>
      <w:r w:rsidR="00994E4E">
        <w:rPr>
          <w:rFonts w:ascii="Helvetica" w:eastAsia="Helvetica" w:hAnsi="Helvetica" w:cs="Helvetica"/>
        </w:rPr>
        <w:t>W</w:t>
      </w:r>
      <w:r w:rsidR="00615AD4">
        <w:rPr>
          <w:rFonts w:ascii="Helvetica" w:eastAsia="Helvetica" w:hAnsi="Helvetica" w:cs="Helvetica"/>
        </w:rPr>
        <w:t>hite suburban communities.</w:t>
      </w:r>
      <w:r w:rsidR="00615AD4">
        <w:rPr>
          <w:rStyle w:val="FootnoteReference"/>
          <w:rFonts w:ascii="Helvetica" w:eastAsia="Helvetica" w:hAnsi="Helvetica" w:cs="Helvetica"/>
        </w:rPr>
        <w:footnoteReference w:id="14"/>
      </w:r>
      <w:r w:rsidR="00B30B27">
        <w:rPr>
          <w:rFonts w:ascii="Helvetica" w:eastAsia="Helvetica" w:hAnsi="Helvetica" w:cs="Helvetica"/>
          <w:vertAlign w:val="superscript"/>
        </w:rPr>
        <w:t>&amp;</w:t>
      </w:r>
      <w:r w:rsidR="00B30B27">
        <w:rPr>
          <w:rStyle w:val="FootnoteReference"/>
          <w:rFonts w:ascii="Helvetica" w:eastAsia="Helvetica" w:hAnsi="Helvetica" w:cs="Helvetica"/>
        </w:rPr>
        <w:footnoteReference w:id="15"/>
      </w:r>
      <w:r w:rsidRPr="00F819AD">
        <w:rPr>
          <w:rFonts w:ascii="Helvetica" w:eastAsia="Helvetica" w:hAnsi="Helvetica" w:cs="Helvetica"/>
        </w:rPr>
        <w:t xml:space="preserve"> These segregationist policies have </w:t>
      </w:r>
      <w:r w:rsidR="00247284">
        <w:rPr>
          <w:rFonts w:ascii="Helvetica" w:eastAsia="Helvetica" w:hAnsi="Helvetica" w:cs="Helvetica"/>
        </w:rPr>
        <w:t xml:space="preserve">had </w:t>
      </w:r>
      <w:r w:rsidRPr="00F819AD">
        <w:rPr>
          <w:rFonts w:ascii="Helvetica" w:eastAsia="Helvetica" w:hAnsi="Helvetica" w:cs="Helvetica"/>
        </w:rPr>
        <w:t>decades</w:t>
      </w:r>
      <w:r w:rsidR="00247284">
        <w:rPr>
          <w:rFonts w:ascii="Helvetica" w:eastAsia="Helvetica" w:hAnsi="Helvetica" w:cs="Helvetica"/>
        </w:rPr>
        <w:t>-</w:t>
      </w:r>
      <w:r w:rsidRPr="00F819AD">
        <w:rPr>
          <w:rFonts w:ascii="Helvetica" w:eastAsia="Helvetica" w:hAnsi="Helvetica" w:cs="Helvetica"/>
        </w:rPr>
        <w:t>long consequences.</w:t>
      </w:r>
    </w:p>
    <w:p w14:paraId="1A34F835" w14:textId="3EDBF7D0" w:rsidR="008E32E0" w:rsidRDefault="00A254CC" w:rsidP="00023A26">
      <w:pPr>
        <w:spacing w:after="120" w:line="276" w:lineRule="auto"/>
        <w:rPr>
          <w:rFonts w:ascii="Helvetica" w:eastAsia="Helvetica" w:hAnsi="Helvetica" w:cs="Helvetica"/>
        </w:rPr>
      </w:pPr>
      <w:r w:rsidRPr="005C71B4">
        <w:rPr>
          <w:rFonts w:ascii="Helvetica" w:eastAsia="Helvetica" w:hAnsi="Helvetica" w:cs="Helvetica"/>
        </w:rPr>
        <w:t>The Fair Housing Act of 1968</w:t>
      </w:r>
      <w:r w:rsidR="009F6EB4">
        <w:rPr>
          <w:rFonts w:ascii="Helvetica" w:eastAsia="Helvetica" w:hAnsi="Helvetica" w:cs="Helvetica"/>
        </w:rPr>
        <w:t xml:space="preserve"> </w:t>
      </w:r>
      <w:r w:rsidRPr="005C71B4">
        <w:rPr>
          <w:rFonts w:ascii="Helvetica" w:eastAsia="Helvetica" w:hAnsi="Helvetica" w:cs="Helvetica"/>
        </w:rPr>
        <w:t>officially ended discriminatory housing practices. This Act prohibited discrimination in the sale, rental, and financing of dwellings based on race, color, religion, sex, or national origin. It allowed the Department of Housing and Urban Development</w:t>
      </w:r>
      <w:r w:rsidR="009F6EB4">
        <w:rPr>
          <w:rFonts w:ascii="Helvetica" w:eastAsia="Helvetica" w:hAnsi="Helvetica" w:cs="Helvetica"/>
        </w:rPr>
        <w:t xml:space="preserve"> (HUD)</w:t>
      </w:r>
      <w:r w:rsidRPr="005C71B4">
        <w:rPr>
          <w:rFonts w:ascii="Helvetica" w:eastAsia="Helvetica" w:hAnsi="Helvetica" w:cs="Helvetica"/>
        </w:rPr>
        <w:t xml:space="preserve"> to play an expanded role in requiring local communities across the country to obey the </w:t>
      </w:r>
      <w:r w:rsidRPr="005C71B4">
        <w:rPr>
          <w:rFonts w:ascii="Helvetica" w:eastAsia="Helvetica" w:hAnsi="Helvetica" w:cs="Helvetica"/>
        </w:rPr>
        <w:lastRenderedPageBreak/>
        <w:t>law.</w:t>
      </w:r>
      <w:r w:rsidRPr="005C71B4">
        <w:rPr>
          <w:rStyle w:val="FootnoteReference"/>
          <w:rFonts w:ascii="Helvetica" w:eastAsia="Helvetica" w:hAnsi="Helvetica" w:cs="Helvetica"/>
        </w:rPr>
        <w:footnoteReference w:id="16"/>
      </w:r>
      <w:r w:rsidRPr="005C71B4">
        <w:rPr>
          <w:rFonts w:ascii="Helvetica" w:eastAsia="Helvetica" w:hAnsi="Helvetica" w:cs="Helvetica"/>
        </w:rPr>
        <w:t xml:space="preserve"> This was a significant victory in helping protect people of color from housing discrimination. Although the Fair Housing Act and other civil rights initiatives formally banned racial discrimination in housing, the new policies did not reverse the already existing racial wealth gap</w:t>
      </w:r>
      <w:r>
        <w:rPr>
          <w:rFonts w:ascii="Helvetica" w:eastAsia="Helvetica" w:hAnsi="Helvetica" w:cs="Helvetica"/>
        </w:rPr>
        <w:t xml:space="preserve"> – and in fact, segregation and racial wealth inequality have increased rather than decreased at times during our recent history</w:t>
      </w:r>
      <w:r w:rsidRPr="005C71B4">
        <w:rPr>
          <w:rFonts w:ascii="Helvetica" w:eastAsia="Helvetica" w:hAnsi="Helvetica" w:cs="Helvetica"/>
        </w:rPr>
        <w:t>.</w:t>
      </w:r>
      <w:r w:rsidR="002C2B53">
        <w:rPr>
          <w:rStyle w:val="FootnoteReference"/>
          <w:rFonts w:ascii="Helvetica" w:eastAsia="Helvetica" w:hAnsi="Helvetica" w:cs="Helvetica"/>
        </w:rPr>
        <w:footnoteReference w:id="17"/>
      </w:r>
      <w:r w:rsidR="00B768AD">
        <w:rPr>
          <w:rFonts w:ascii="Helvetica" w:eastAsia="Helvetica" w:hAnsi="Helvetica" w:cs="Helvetica"/>
          <w:vertAlign w:val="superscript"/>
        </w:rPr>
        <w:t>,</w:t>
      </w:r>
      <w:r w:rsidR="005A3262">
        <w:rPr>
          <w:rStyle w:val="FootnoteReference"/>
          <w:rFonts w:ascii="Helvetica" w:eastAsia="Helvetica" w:hAnsi="Helvetica" w:cs="Helvetica"/>
        </w:rPr>
        <w:footnoteReference w:id="18"/>
      </w:r>
      <w:r w:rsidR="00B768AD">
        <w:rPr>
          <w:rFonts w:ascii="Helvetica" w:eastAsia="Helvetica" w:hAnsi="Helvetica" w:cs="Helvetica"/>
          <w:vertAlign w:val="superscript"/>
        </w:rPr>
        <w:t>,</w:t>
      </w:r>
      <w:r w:rsidR="004C0502">
        <w:rPr>
          <w:rStyle w:val="FootnoteReference"/>
          <w:rFonts w:ascii="Helvetica" w:eastAsia="Helvetica" w:hAnsi="Helvetica" w:cs="Helvetica"/>
        </w:rPr>
        <w:footnoteReference w:id="19"/>
      </w:r>
      <w:r w:rsidR="00B768AD">
        <w:rPr>
          <w:rFonts w:ascii="Helvetica" w:eastAsia="Helvetica" w:hAnsi="Helvetica" w:cs="Helvetica"/>
          <w:vertAlign w:val="superscript"/>
        </w:rPr>
        <w:t>&amp;</w:t>
      </w:r>
      <w:r w:rsidR="00B768AD">
        <w:rPr>
          <w:rStyle w:val="FootnoteReference"/>
          <w:rFonts w:ascii="Helvetica" w:eastAsia="Helvetica" w:hAnsi="Helvetica" w:cs="Helvetica"/>
        </w:rPr>
        <w:footnoteReference w:id="20"/>
      </w:r>
    </w:p>
    <w:p w14:paraId="3D7BF77B" w14:textId="6B6D81DB" w:rsidR="001917B1" w:rsidRDefault="00C571D8" w:rsidP="001917B1">
      <w:pPr>
        <w:spacing w:after="120" w:line="276" w:lineRule="auto"/>
        <w:rPr>
          <w:rFonts w:ascii="Helvetica" w:eastAsia="Helvetica" w:hAnsi="Helvetica" w:cs="Helvetica"/>
        </w:rPr>
      </w:pPr>
      <w:r>
        <w:rPr>
          <w:rFonts w:ascii="Helvetica" w:eastAsia="Helvetica" w:hAnsi="Helvetica" w:cs="Helvetica"/>
        </w:rPr>
        <w:t xml:space="preserve">The legacy of </w:t>
      </w:r>
      <w:r w:rsidR="00AC1D98">
        <w:rPr>
          <w:rFonts w:ascii="Helvetica" w:eastAsia="Helvetica" w:hAnsi="Helvetica" w:cs="Helvetica"/>
        </w:rPr>
        <w:t xml:space="preserve">segregation </w:t>
      </w:r>
      <w:r w:rsidR="00065316">
        <w:rPr>
          <w:rFonts w:ascii="Helvetica" w:eastAsia="Helvetica" w:hAnsi="Helvetica" w:cs="Helvetica"/>
        </w:rPr>
        <w:t xml:space="preserve">and systemic racism </w:t>
      </w:r>
      <w:r w:rsidR="00AC1D98">
        <w:rPr>
          <w:rFonts w:ascii="Helvetica" w:eastAsia="Helvetica" w:hAnsi="Helvetica" w:cs="Helvetica"/>
        </w:rPr>
        <w:t xml:space="preserve">continues </w:t>
      </w:r>
      <w:r w:rsidR="00F40B5D">
        <w:rPr>
          <w:rFonts w:ascii="Helvetica" w:eastAsia="Helvetica" w:hAnsi="Helvetica" w:cs="Helvetica"/>
        </w:rPr>
        <w:t xml:space="preserve">today. </w:t>
      </w:r>
      <w:r w:rsidR="00A4488F">
        <w:rPr>
          <w:rFonts w:ascii="Helvetica" w:eastAsia="Helvetica" w:hAnsi="Helvetica" w:cs="Helvetica"/>
        </w:rPr>
        <w:t>One example of this</w:t>
      </w:r>
      <w:r w:rsidR="00B15288">
        <w:rPr>
          <w:rFonts w:ascii="Helvetica" w:eastAsia="Helvetica" w:hAnsi="Helvetica" w:cs="Helvetica"/>
        </w:rPr>
        <w:t xml:space="preserve"> </w:t>
      </w:r>
      <w:r w:rsidR="009F434A">
        <w:rPr>
          <w:rFonts w:ascii="Helvetica" w:eastAsia="Helvetica" w:hAnsi="Helvetica" w:cs="Helvetica"/>
        </w:rPr>
        <w:t>is</w:t>
      </w:r>
      <w:r w:rsidR="00B15288">
        <w:rPr>
          <w:rFonts w:ascii="Helvetica" w:eastAsia="Helvetica" w:hAnsi="Helvetica" w:cs="Helvetica"/>
        </w:rPr>
        <w:t xml:space="preserve"> the differences in home values across neighborhoods</w:t>
      </w:r>
      <w:r w:rsidR="00A4488F">
        <w:rPr>
          <w:rFonts w:ascii="Helvetica" w:eastAsia="Helvetica" w:hAnsi="Helvetica" w:cs="Helvetica"/>
        </w:rPr>
        <w:t xml:space="preserve">. </w:t>
      </w:r>
      <w:r w:rsidR="00CF646B">
        <w:rPr>
          <w:rFonts w:ascii="Helvetica" w:eastAsia="Helvetica" w:hAnsi="Helvetica" w:cs="Helvetica"/>
        </w:rPr>
        <w:t xml:space="preserve">In 2018, researchers at the Brookings Institution found that </w:t>
      </w:r>
      <w:r w:rsidR="00C26CC2">
        <w:rPr>
          <w:rFonts w:ascii="Helvetica" w:eastAsia="Helvetica" w:hAnsi="Helvetica" w:cs="Helvetica"/>
        </w:rPr>
        <w:t xml:space="preserve">in </w:t>
      </w:r>
      <w:r w:rsidR="00CF646B">
        <w:rPr>
          <w:rFonts w:ascii="Helvetica" w:eastAsia="Helvetica" w:hAnsi="Helvetica" w:cs="Helvetica"/>
        </w:rPr>
        <w:t xml:space="preserve">majority Black neighborhoods </w:t>
      </w:r>
      <w:r w:rsidR="00C26CC2">
        <w:rPr>
          <w:rFonts w:ascii="Helvetica" w:eastAsia="Helvetica" w:hAnsi="Helvetica" w:cs="Helvetica"/>
        </w:rPr>
        <w:t xml:space="preserve">(where 50 percent or more of the population is Black) </w:t>
      </w:r>
      <w:r w:rsidR="0085188A">
        <w:rPr>
          <w:rFonts w:ascii="Helvetica" w:eastAsia="Helvetica" w:hAnsi="Helvetica" w:cs="Helvetica"/>
        </w:rPr>
        <w:t xml:space="preserve">homes of similar </w:t>
      </w:r>
      <w:r w:rsidR="00592C48">
        <w:rPr>
          <w:rFonts w:ascii="Helvetica" w:eastAsia="Helvetica" w:hAnsi="Helvetica" w:cs="Helvetica"/>
        </w:rPr>
        <w:t>condition</w:t>
      </w:r>
      <w:r w:rsidR="0085188A">
        <w:rPr>
          <w:rFonts w:ascii="Helvetica" w:eastAsia="Helvetica" w:hAnsi="Helvetica" w:cs="Helvetica"/>
        </w:rPr>
        <w:t xml:space="preserve"> were being undervalued by 23 percent</w:t>
      </w:r>
      <w:r w:rsidR="004C224F">
        <w:rPr>
          <w:rFonts w:ascii="Helvetica" w:eastAsia="Helvetica" w:hAnsi="Helvetica" w:cs="Helvetica"/>
        </w:rPr>
        <w:t xml:space="preserve"> when compared to homes in </w:t>
      </w:r>
      <w:r w:rsidR="00F47EA7">
        <w:rPr>
          <w:rFonts w:ascii="Helvetica" w:eastAsia="Helvetica" w:hAnsi="Helvetica" w:cs="Helvetica"/>
        </w:rPr>
        <w:t xml:space="preserve">similar </w:t>
      </w:r>
      <w:r w:rsidR="00592C48">
        <w:rPr>
          <w:rFonts w:ascii="Helvetica" w:eastAsia="Helvetica" w:hAnsi="Helvetica" w:cs="Helvetica"/>
        </w:rPr>
        <w:t xml:space="preserve">quality </w:t>
      </w:r>
      <w:r w:rsidR="004C224F">
        <w:rPr>
          <w:rFonts w:ascii="Helvetica" w:eastAsia="Helvetica" w:hAnsi="Helvetica" w:cs="Helvetica"/>
        </w:rPr>
        <w:t xml:space="preserve">neighborhoods with </w:t>
      </w:r>
      <w:r w:rsidR="00F47EA7">
        <w:rPr>
          <w:rFonts w:ascii="Helvetica" w:eastAsia="Helvetica" w:hAnsi="Helvetica" w:cs="Helvetica"/>
        </w:rPr>
        <w:t xml:space="preserve">virtually no Black residents. </w:t>
      </w:r>
      <w:r w:rsidR="00592C48">
        <w:rPr>
          <w:rFonts w:ascii="Helvetica" w:eastAsia="Helvetica" w:hAnsi="Helvetica" w:cs="Helvetica"/>
        </w:rPr>
        <w:t>This amounts to a devaluation of $48,000 per home or $156 billion in cumulative losses for those Black residents.</w:t>
      </w:r>
      <w:r w:rsidR="001A21E0">
        <w:rPr>
          <w:rStyle w:val="FootnoteReference"/>
          <w:rFonts w:ascii="Helvetica" w:eastAsia="Helvetica" w:hAnsi="Helvetica" w:cs="Helvetica"/>
        </w:rPr>
        <w:footnoteReference w:id="21"/>
      </w:r>
      <w:r w:rsidR="001A21E0">
        <w:rPr>
          <w:rFonts w:ascii="Helvetica" w:eastAsia="Helvetica" w:hAnsi="Helvetica" w:cs="Helvetica"/>
        </w:rPr>
        <w:t xml:space="preserve"> </w:t>
      </w:r>
      <w:r w:rsidR="001917B1">
        <w:rPr>
          <w:rFonts w:ascii="Helvetica" w:eastAsia="Helvetica" w:hAnsi="Helvetica" w:cs="Helvetica"/>
        </w:rPr>
        <w:t xml:space="preserve">These findings illustrate the cost of racial bias in housing, regardless of income. </w:t>
      </w:r>
    </w:p>
    <w:p w14:paraId="57D1EC5E" w14:textId="77777777" w:rsidR="001917B1" w:rsidRPr="00F819AD" w:rsidRDefault="001917B1" w:rsidP="001917B1">
      <w:pPr>
        <w:spacing w:after="120" w:line="276" w:lineRule="auto"/>
        <w:rPr>
          <w:rFonts w:ascii="Helvetica" w:eastAsia="Helvetica" w:hAnsi="Helvetica" w:cs="Helvetica"/>
        </w:rPr>
      </w:pPr>
      <w:r>
        <w:rPr>
          <w:rFonts w:ascii="Helvetica" w:eastAsia="Helvetica" w:hAnsi="Helvetica" w:cs="Helvetica"/>
        </w:rPr>
        <w:t>Another way contemporary segregation has manifested itself is through the concentration of poverty.</w:t>
      </w:r>
      <w:r w:rsidRPr="00F819AD">
        <w:rPr>
          <w:rFonts w:ascii="Helvetica" w:eastAsia="Helvetica" w:hAnsi="Helvetica" w:cs="Helvetica"/>
        </w:rPr>
        <w:t xml:space="preserve"> According to the Economic Policy Institute:</w:t>
      </w:r>
    </w:p>
    <w:p w14:paraId="7D4A9CA9" w14:textId="5858E591" w:rsidR="00721B75" w:rsidRPr="00F819AD" w:rsidRDefault="00721B75" w:rsidP="00F819AD">
      <w:pPr>
        <w:pStyle w:val="ListParagraph"/>
        <w:numPr>
          <w:ilvl w:val="0"/>
          <w:numId w:val="7"/>
        </w:numPr>
        <w:spacing w:after="120" w:line="276" w:lineRule="auto"/>
        <w:contextualSpacing w:val="0"/>
        <w:rPr>
          <w:rFonts w:ascii="Helvetica" w:eastAsia="Helvetica" w:hAnsi="Helvetica" w:cs="Helvetica"/>
        </w:rPr>
      </w:pPr>
      <w:r w:rsidRPr="00F819AD">
        <w:rPr>
          <w:rFonts w:ascii="Helvetica" w:eastAsia="Helvetica" w:hAnsi="Helvetica" w:cs="Helvetica"/>
        </w:rPr>
        <w:t>Seven percent of poor Whites lived in high poverty neighborhoods (more than 40 percent of the residents are poor)</w:t>
      </w:r>
      <w:r w:rsidR="00A254CC">
        <w:rPr>
          <w:rFonts w:ascii="Helvetica" w:eastAsia="Helvetica" w:hAnsi="Helvetica" w:cs="Helvetica"/>
        </w:rPr>
        <w:t xml:space="preserve"> in 2011</w:t>
      </w:r>
      <w:r w:rsidRPr="00F819AD">
        <w:rPr>
          <w:rFonts w:ascii="Helvetica" w:eastAsia="Helvetica" w:hAnsi="Helvetica" w:cs="Helvetica"/>
        </w:rPr>
        <w:t>, up from four percent in 2000.</w:t>
      </w:r>
    </w:p>
    <w:p w14:paraId="3268F08A" w14:textId="77777777" w:rsidR="00721B75" w:rsidRPr="00F819AD" w:rsidRDefault="00721B75" w:rsidP="00F819AD">
      <w:pPr>
        <w:pStyle w:val="ListParagraph"/>
        <w:numPr>
          <w:ilvl w:val="0"/>
          <w:numId w:val="7"/>
        </w:numPr>
        <w:spacing w:after="120" w:line="276" w:lineRule="auto"/>
        <w:contextualSpacing w:val="0"/>
        <w:rPr>
          <w:rFonts w:ascii="Helvetica" w:eastAsia="Helvetica" w:hAnsi="Helvetica" w:cs="Helvetica"/>
        </w:rPr>
      </w:pPr>
      <w:r w:rsidRPr="00F819AD">
        <w:rPr>
          <w:rFonts w:ascii="Helvetica" w:eastAsia="Helvetica" w:hAnsi="Helvetica" w:cs="Helvetica"/>
        </w:rPr>
        <w:t xml:space="preserve">15 percent of poor Latinos lived in high poverty neighborhoods in 2011, up from 14 percent in 2000 </w:t>
      </w:r>
    </w:p>
    <w:p w14:paraId="7EE09C65" w14:textId="18E8DB80" w:rsidR="00721B75" w:rsidRPr="00F819AD" w:rsidRDefault="00721B75" w:rsidP="00F819AD">
      <w:pPr>
        <w:pStyle w:val="ListParagraph"/>
        <w:numPr>
          <w:ilvl w:val="0"/>
          <w:numId w:val="7"/>
        </w:numPr>
        <w:spacing w:after="120" w:line="276" w:lineRule="auto"/>
        <w:contextualSpacing w:val="0"/>
        <w:rPr>
          <w:rFonts w:ascii="Helvetica" w:eastAsia="Helvetica" w:hAnsi="Helvetica" w:cs="Helvetica"/>
        </w:rPr>
      </w:pPr>
      <w:r w:rsidRPr="00F819AD">
        <w:rPr>
          <w:rFonts w:ascii="Helvetica" w:eastAsia="Helvetica" w:hAnsi="Helvetica" w:cs="Helvetica"/>
        </w:rPr>
        <w:t xml:space="preserve">23 percent of poor </w:t>
      </w:r>
      <w:r w:rsidR="00675317">
        <w:rPr>
          <w:rFonts w:ascii="Helvetica" w:eastAsia="Helvetica" w:hAnsi="Helvetica" w:cs="Helvetica"/>
        </w:rPr>
        <w:t>African American</w:t>
      </w:r>
      <w:r w:rsidRPr="00F819AD">
        <w:rPr>
          <w:rFonts w:ascii="Helvetica" w:eastAsia="Helvetica" w:hAnsi="Helvetica" w:cs="Helvetica"/>
        </w:rPr>
        <w:t>s lived in high poverty neighborhoods in 2011, up from 19 percent in 2000.</w:t>
      </w:r>
      <w:r w:rsidRPr="00F819AD">
        <w:rPr>
          <w:rStyle w:val="FootnoteReference"/>
          <w:rFonts w:ascii="Helvetica" w:eastAsia="Helvetica" w:hAnsi="Helvetica" w:cs="Helvetica"/>
        </w:rPr>
        <w:footnoteReference w:id="22"/>
      </w:r>
      <w:r w:rsidRPr="00F819AD">
        <w:rPr>
          <w:rFonts w:ascii="Helvetica" w:eastAsia="Helvetica" w:hAnsi="Helvetica" w:cs="Helvetica"/>
        </w:rPr>
        <w:t xml:space="preserve"> </w:t>
      </w:r>
    </w:p>
    <w:p w14:paraId="09DCCCB9" w14:textId="6F871271" w:rsidR="00721B75" w:rsidRDefault="695527DC" w:rsidP="695527DC">
      <w:pPr>
        <w:spacing w:after="240" w:line="276" w:lineRule="auto"/>
        <w:rPr>
          <w:rFonts w:ascii="Helvetica" w:eastAsia="Helvetica" w:hAnsi="Helvetica" w:cs="Helvetica"/>
        </w:rPr>
      </w:pPr>
      <w:r w:rsidRPr="695527DC">
        <w:rPr>
          <w:rFonts w:ascii="Helvetica" w:eastAsia="Helvetica" w:hAnsi="Helvetica" w:cs="Helvetica"/>
        </w:rPr>
        <w:t xml:space="preserve">Living in </w:t>
      </w:r>
      <w:r w:rsidR="005646CF">
        <w:rPr>
          <w:rFonts w:ascii="Helvetica" w:eastAsia="Helvetica" w:hAnsi="Helvetica" w:cs="Helvetica"/>
        </w:rPr>
        <w:t xml:space="preserve">neighborhoods with </w:t>
      </w:r>
      <w:r w:rsidRPr="695527DC">
        <w:rPr>
          <w:rFonts w:ascii="Helvetica" w:eastAsia="Helvetica" w:hAnsi="Helvetica" w:cs="Helvetica"/>
        </w:rPr>
        <w:t>concentrated poverty</w:t>
      </w:r>
      <w:r w:rsidR="00B602B3">
        <w:rPr>
          <w:rFonts w:ascii="Helvetica" w:eastAsia="Helvetica" w:hAnsi="Helvetica" w:cs="Helvetica"/>
        </w:rPr>
        <w:t xml:space="preserve"> </w:t>
      </w:r>
      <w:r w:rsidR="00743858">
        <w:rPr>
          <w:rFonts w:ascii="Helvetica" w:eastAsia="Helvetica" w:hAnsi="Helvetica" w:cs="Helvetica"/>
        </w:rPr>
        <w:t xml:space="preserve">has shown to reduce home values in those areas. </w:t>
      </w:r>
      <w:r w:rsidR="00545637">
        <w:rPr>
          <w:rFonts w:ascii="Helvetica" w:eastAsia="Helvetica" w:hAnsi="Helvetica" w:cs="Helvetica"/>
        </w:rPr>
        <w:t>For families</w:t>
      </w:r>
      <w:r w:rsidR="00743858">
        <w:rPr>
          <w:rFonts w:ascii="Helvetica" w:eastAsia="Helvetica" w:hAnsi="Helvetica" w:cs="Helvetica"/>
        </w:rPr>
        <w:t xml:space="preserve"> in these neighborhoods</w:t>
      </w:r>
      <w:r w:rsidR="00545637">
        <w:rPr>
          <w:rFonts w:ascii="Helvetica" w:eastAsia="Helvetica" w:hAnsi="Helvetica" w:cs="Helvetica"/>
        </w:rPr>
        <w:t xml:space="preserve"> that can afford to own their home, this means that little wealth can be accrued because of the low home values</w:t>
      </w:r>
      <w:r w:rsidR="00537A37">
        <w:rPr>
          <w:rFonts w:ascii="Helvetica" w:eastAsia="Helvetica" w:hAnsi="Helvetica" w:cs="Helvetica"/>
        </w:rPr>
        <w:t>.</w:t>
      </w:r>
      <w:r w:rsidR="00451CE8">
        <w:rPr>
          <w:rStyle w:val="FootnoteReference"/>
          <w:rFonts w:ascii="Helvetica" w:eastAsia="Helvetica" w:hAnsi="Helvetica" w:cs="Helvetica"/>
        </w:rPr>
        <w:footnoteReference w:id="23"/>
      </w:r>
      <w:r w:rsidR="00B30B27">
        <w:rPr>
          <w:rFonts w:ascii="Helvetica" w:eastAsia="Helvetica" w:hAnsi="Helvetica" w:cs="Helvetica"/>
          <w:vertAlign w:val="superscript"/>
        </w:rPr>
        <w:t>&amp;</w:t>
      </w:r>
      <w:r w:rsidR="00B30B27">
        <w:rPr>
          <w:rStyle w:val="FootnoteReference"/>
          <w:rFonts w:ascii="Helvetica" w:eastAsia="Helvetica" w:hAnsi="Helvetica" w:cs="Helvetica"/>
        </w:rPr>
        <w:footnoteReference w:id="24"/>
      </w:r>
      <w:r w:rsidR="00537A37">
        <w:rPr>
          <w:rFonts w:ascii="Helvetica" w:eastAsia="Helvetica" w:hAnsi="Helvetica" w:cs="Helvetica"/>
        </w:rPr>
        <w:t xml:space="preserve"> Long-term</w:t>
      </w:r>
      <w:r w:rsidR="004E19F3">
        <w:rPr>
          <w:rFonts w:ascii="Helvetica" w:eastAsia="Helvetica" w:hAnsi="Helvetica" w:cs="Helvetica"/>
        </w:rPr>
        <w:t>,</w:t>
      </w:r>
      <w:r w:rsidR="00537A37">
        <w:rPr>
          <w:rFonts w:ascii="Helvetica" w:eastAsia="Helvetica" w:hAnsi="Helvetica" w:cs="Helvetica"/>
        </w:rPr>
        <w:t xml:space="preserve"> this impacts </w:t>
      </w:r>
      <w:proofErr w:type="gramStart"/>
      <w:r w:rsidR="00537A37">
        <w:rPr>
          <w:rFonts w:ascii="Helvetica" w:eastAsia="Helvetica" w:hAnsi="Helvetica" w:cs="Helvetica"/>
        </w:rPr>
        <w:lastRenderedPageBreak/>
        <w:t>homeowners</w:t>
      </w:r>
      <w:proofErr w:type="gramEnd"/>
      <w:r w:rsidR="00537A37">
        <w:rPr>
          <w:rFonts w:ascii="Helvetica" w:eastAsia="Helvetica" w:hAnsi="Helvetica" w:cs="Helvetica"/>
        </w:rPr>
        <w:t xml:space="preserve"> ability to</w:t>
      </w:r>
      <w:r w:rsidR="00727086">
        <w:rPr>
          <w:rFonts w:ascii="Helvetica" w:eastAsia="Helvetica" w:hAnsi="Helvetica" w:cs="Helvetica"/>
        </w:rPr>
        <w:t xml:space="preserve"> sell </w:t>
      </w:r>
      <w:r w:rsidR="00AE35FE">
        <w:rPr>
          <w:rFonts w:ascii="Helvetica" w:eastAsia="Helvetica" w:hAnsi="Helvetica" w:cs="Helvetica"/>
        </w:rPr>
        <w:t xml:space="preserve">their home </w:t>
      </w:r>
      <w:r w:rsidR="00727086">
        <w:rPr>
          <w:rFonts w:ascii="Helvetica" w:eastAsia="Helvetica" w:hAnsi="Helvetica" w:cs="Helvetica"/>
        </w:rPr>
        <w:t xml:space="preserve">at a higher value or leverage homeownership </w:t>
      </w:r>
      <w:r w:rsidR="00AE35FE">
        <w:rPr>
          <w:rFonts w:ascii="Helvetica" w:eastAsia="Helvetica" w:hAnsi="Helvetica" w:cs="Helvetica"/>
        </w:rPr>
        <w:t>to invest in other wealth building strategies</w:t>
      </w:r>
      <w:r w:rsidR="00727086">
        <w:rPr>
          <w:rFonts w:ascii="Helvetica" w:eastAsia="Helvetica" w:hAnsi="Helvetica" w:cs="Helvetica"/>
        </w:rPr>
        <w:t xml:space="preserve">. </w:t>
      </w:r>
    </w:p>
    <w:p w14:paraId="5936C4FA" w14:textId="77777777" w:rsidR="00314483" w:rsidRPr="00F819AD" w:rsidRDefault="00314483" w:rsidP="00314483">
      <w:pPr>
        <w:spacing w:after="120" w:line="276" w:lineRule="auto"/>
        <w:rPr>
          <w:rFonts w:ascii="Helvetica" w:eastAsia="Helvetica" w:hAnsi="Helvetica" w:cs="Helvetica"/>
          <w:b/>
          <w:sz w:val="28"/>
          <w:szCs w:val="28"/>
        </w:rPr>
      </w:pPr>
      <w:r w:rsidRPr="00F819AD">
        <w:rPr>
          <w:rFonts w:ascii="Helvetica" w:eastAsia="Helvetica" w:hAnsi="Helvetica" w:cs="Helvetica"/>
          <w:b/>
          <w:sz w:val="28"/>
          <w:szCs w:val="28"/>
        </w:rPr>
        <w:t xml:space="preserve">The Racial Equity Impact of Policies in Employment, Education and Mass Incarceration </w:t>
      </w:r>
    </w:p>
    <w:p w14:paraId="252F9572" w14:textId="1D65C8C2" w:rsidR="00314483" w:rsidRPr="00F819AD" w:rsidRDefault="00314483" w:rsidP="00314483">
      <w:pPr>
        <w:spacing w:after="120" w:line="276" w:lineRule="auto"/>
        <w:rPr>
          <w:rFonts w:ascii="Helvetica" w:eastAsia="Helvetica" w:hAnsi="Helvetica" w:cs="Helvetica"/>
        </w:rPr>
      </w:pPr>
      <w:r w:rsidRPr="00F819AD">
        <w:rPr>
          <w:rFonts w:ascii="Helvetica" w:eastAsia="Helvetica" w:hAnsi="Helvetica" w:cs="Helvetica"/>
        </w:rPr>
        <w:t>Along with housing segregation, employment discrimination, educational inequities</w:t>
      </w:r>
      <w:r>
        <w:rPr>
          <w:rFonts w:ascii="Helvetica" w:eastAsia="Helvetica" w:hAnsi="Helvetica" w:cs="Helvetica"/>
        </w:rPr>
        <w:t>,</w:t>
      </w:r>
      <w:r w:rsidRPr="00F819AD">
        <w:rPr>
          <w:rFonts w:ascii="Helvetica" w:eastAsia="Helvetica" w:hAnsi="Helvetica" w:cs="Helvetica"/>
        </w:rPr>
        <w:t xml:space="preserve"> and the criminal justice system have all contributed to the racial wealth inequities in the US, particularly between </w:t>
      </w:r>
      <w:r w:rsidR="00BE014F">
        <w:rPr>
          <w:rFonts w:ascii="Helvetica" w:eastAsia="Helvetica" w:hAnsi="Helvetica" w:cs="Helvetica"/>
        </w:rPr>
        <w:t>B</w:t>
      </w:r>
      <w:r w:rsidRPr="00F819AD">
        <w:rPr>
          <w:rFonts w:ascii="Helvetica" w:eastAsia="Helvetica" w:hAnsi="Helvetica" w:cs="Helvetica"/>
        </w:rPr>
        <w:t xml:space="preserve">lack and </w:t>
      </w:r>
      <w:r w:rsidR="00994E4E">
        <w:rPr>
          <w:rFonts w:ascii="Helvetica" w:eastAsia="Helvetica" w:hAnsi="Helvetica" w:cs="Helvetica"/>
        </w:rPr>
        <w:t>W</w:t>
      </w:r>
      <w:r w:rsidRPr="00F819AD">
        <w:rPr>
          <w:rFonts w:ascii="Helvetica" w:eastAsia="Helvetica" w:hAnsi="Helvetica" w:cs="Helvetica"/>
        </w:rPr>
        <w:t>hite Americans.</w:t>
      </w:r>
      <w:r w:rsidRPr="00F819AD">
        <w:rPr>
          <w:rStyle w:val="FootnoteReference"/>
          <w:rFonts w:ascii="Helvetica" w:eastAsia="Helvetica" w:hAnsi="Helvetica" w:cs="Helvetica"/>
        </w:rPr>
        <w:footnoteReference w:id="25"/>
      </w:r>
      <w:r w:rsidRPr="00F819AD">
        <w:rPr>
          <w:rFonts w:ascii="Helvetica" w:eastAsia="Helvetica" w:hAnsi="Helvetica" w:cs="Helvetica"/>
        </w:rPr>
        <w:t xml:space="preserve"> When first enacted, </w:t>
      </w:r>
      <w:bookmarkStart w:id="5" w:name="_Hlk518054415"/>
      <w:r w:rsidRPr="00F819AD">
        <w:rPr>
          <w:rFonts w:ascii="Helvetica" w:eastAsia="Helvetica" w:hAnsi="Helvetica" w:cs="Helvetica"/>
        </w:rPr>
        <w:t xml:space="preserve">the Social Security Act of 1935 excluded certain domestic workers and farmers from participating in the program. Because these professions were primarily employed by </w:t>
      </w:r>
      <w:r>
        <w:rPr>
          <w:rFonts w:ascii="Helvetica" w:eastAsia="Helvetica" w:hAnsi="Helvetica" w:cs="Helvetica"/>
        </w:rPr>
        <w:t xml:space="preserve">African </w:t>
      </w:r>
      <w:r w:rsidRPr="00F819AD">
        <w:rPr>
          <w:rFonts w:ascii="Helvetica" w:eastAsia="Helvetica" w:hAnsi="Helvetica" w:cs="Helvetica"/>
        </w:rPr>
        <w:t xml:space="preserve">Americans, this exclusion had the effect of excluding 65 percent of </w:t>
      </w:r>
      <w:r>
        <w:rPr>
          <w:rFonts w:ascii="Helvetica" w:eastAsia="Helvetica" w:hAnsi="Helvetica" w:cs="Helvetica"/>
        </w:rPr>
        <w:t>African American</w:t>
      </w:r>
      <w:r w:rsidRPr="00F819AD">
        <w:rPr>
          <w:rFonts w:ascii="Helvetica" w:eastAsia="Helvetica" w:hAnsi="Helvetica" w:cs="Helvetica"/>
        </w:rPr>
        <w:t xml:space="preserve"> workers from Social Security</w:t>
      </w:r>
      <w:bookmarkEnd w:id="5"/>
      <w:r w:rsidRPr="00F819AD">
        <w:rPr>
          <w:rFonts w:ascii="Helvetica" w:eastAsia="Helvetica" w:hAnsi="Helvetica" w:cs="Helvetica"/>
        </w:rPr>
        <w:t xml:space="preserve">. The law was not changed to include these workers until 1954, almost two decades later. </w:t>
      </w:r>
      <w:bookmarkStart w:id="6" w:name="_Hlk518054439"/>
      <w:r w:rsidRPr="00F819AD">
        <w:rPr>
          <w:rFonts w:ascii="Helvetica" w:eastAsia="Helvetica" w:hAnsi="Helvetica" w:cs="Helvetica"/>
        </w:rPr>
        <w:t xml:space="preserve">Similarly, the Fair Labors Standards Act of 1938 which established the forty-hour work week and the federal minimum wage excluded </w:t>
      </w:r>
      <w:r>
        <w:rPr>
          <w:rFonts w:ascii="Helvetica" w:eastAsia="Helvetica" w:hAnsi="Helvetica" w:cs="Helvetica"/>
        </w:rPr>
        <w:t>many tip-based professions such as servers and shoe shiners which were predominantly held by African American workers.</w:t>
      </w:r>
      <w:bookmarkEnd w:id="6"/>
      <w:r>
        <w:rPr>
          <w:rFonts w:ascii="Helvetica" w:eastAsia="Helvetica" w:hAnsi="Helvetica" w:cs="Helvetica"/>
          <w:vertAlign w:val="superscript"/>
        </w:rPr>
        <w:t>30</w:t>
      </w:r>
      <w:r>
        <w:rPr>
          <w:rFonts w:ascii="Helvetica" w:eastAsia="Helvetica" w:hAnsi="Helvetica" w:cs="Helvetica"/>
        </w:rPr>
        <w:t xml:space="preserve"> </w:t>
      </w:r>
      <w:r w:rsidRPr="00F819AD">
        <w:rPr>
          <w:rFonts w:ascii="Helvetica" w:eastAsia="Helvetica" w:hAnsi="Helvetica" w:cs="Helvetica"/>
        </w:rPr>
        <w:t xml:space="preserve"> </w:t>
      </w:r>
    </w:p>
    <w:p w14:paraId="2D84FC19" w14:textId="64D38D7F" w:rsidR="00314483" w:rsidRPr="00F819AD" w:rsidRDefault="00314483" w:rsidP="00314483">
      <w:pPr>
        <w:spacing w:after="120" w:line="276" w:lineRule="auto"/>
        <w:rPr>
          <w:rFonts w:ascii="Helvetica" w:eastAsia="Helvetica" w:hAnsi="Helvetica" w:cs="Helvetica"/>
        </w:rPr>
      </w:pPr>
      <w:r w:rsidRPr="00F819AD">
        <w:rPr>
          <w:rFonts w:ascii="Helvetica" w:eastAsia="Helvetica" w:hAnsi="Helvetica" w:cs="Helvetica"/>
        </w:rPr>
        <w:t>The G.I. bill signified an important time in which the federal government invested in providing affordable education and housing to World War II veterans and their families.</w:t>
      </w:r>
      <w:r w:rsidRPr="00F819AD">
        <w:rPr>
          <w:rStyle w:val="FootnoteReference"/>
          <w:rFonts w:ascii="Helvetica" w:eastAsia="Helvetica" w:hAnsi="Helvetica" w:cs="Helvetica"/>
        </w:rPr>
        <w:footnoteReference w:id="26"/>
      </w:r>
      <w:r w:rsidRPr="00F819AD">
        <w:rPr>
          <w:rFonts w:ascii="Helvetica" w:eastAsia="Helvetica" w:hAnsi="Helvetica" w:cs="Helvetica"/>
        </w:rPr>
        <w:t xml:space="preserve"> This bill is largely credited for the creation of the American middle class. However, because of Jim Crow</w:t>
      </w:r>
      <w:r w:rsidRPr="00F718BD">
        <w:rPr>
          <w:rStyle w:val="FootnoteReference"/>
          <w:rFonts w:ascii="Helvetica" w:eastAsia="Helvetica" w:hAnsi="Helvetica" w:cs="Helvetica"/>
        </w:rPr>
        <w:footnoteReference w:id="27"/>
      </w:r>
      <w:r w:rsidRPr="00F718BD">
        <w:rPr>
          <w:rFonts w:ascii="Helvetica" w:eastAsia="Helvetica" w:hAnsi="Helvetica" w:cs="Helvetica"/>
        </w:rPr>
        <w:t xml:space="preserve"> </w:t>
      </w:r>
      <w:r w:rsidRPr="00F819AD">
        <w:rPr>
          <w:rFonts w:ascii="Helvetica" w:eastAsia="Helvetica" w:hAnsi="Helvetica" w:cs="Helvetica"/>
        </w:rPr>
        <w:t>and other racist policies, veterans of color were not afforded the same opportunity. If a</w:t>
      </w:r>
      <w:r>
        <w:rPr>
          <w:rFonts w:ascii="Helvetica" w:eastAsia="Helvetica" w:hAnsi="Helvetica" w:cs="Helvetica"/>
        </w:rPr>
        <w:t>n</w:t>
      </w:r>
      <w:r w:rsidRPr="00F819AD">
        <w:rPr>
          <w:rFonts w:ascii="Helvetica" w:eastAsia="Helvetica" w:hAnsi="Helvetica" w:cs="Helvetica"/>
        </w:rPr>
        <w:t xml:space="preserve"> </w:t>
      </w:r>
      <w:r>
        <w:rPr>
          <w:rFonts w:ascii="Helvetica" w:eastAsia="Helvetica" w:hAnsi="Helvetica" w:cs="Helvetica"/>
        </w:rPr>
        <w:t>African American</w:t>
      </w:r>
      <w:r w:rsidRPr="00F819AD">
        <w:rPr>
          <w:rFonts w:ascii="Helvetica" w:eastAsia="Helvetica" w:hAnsi="Helvetica" w:cs="Helvetica"/>
        </w:rPr>
        <w:t xml:space="preserve"> or Native American veteran lived in an area in which Jim Crow was prevalent, then the local Veterans’ Administration could deny their benefits or relegate them to lower quality and segregated housing options. In the times in which </w:t>
      </w:r>
      <w:r w:rsidR="00994E4E">
        <w:rPr>
          <w:rFonts w:ascii="Helvetica" w:eastAsia="Helvetica" w:hAnsi="Helvetica" w:cs="Helvetica"/>
        </w:rPr>
        <w:t>W</w:t>
      </w:r>
      <w:r w:rsidRPr="00F819AD">
        <w:rPr>
          <w:rFonts w:ascii="Helvetica" w:eastAsia="Helvetica" w:hAnsi="Helvetica" w:cs="Helvetica"/>
        </w:rPr>
        <w:t>hite families were provided important opportunities for mobility and wealth accumulation, families of color were intentionally, and sometimes violently, excluded from these important federal policies.</w:t>
      </w:r>
    </w:p>
    <w:p w14:paraId="61C82212" w14:textId="57AC723C" w:rsidR="00314483" w:rsidRPr="00F819AD" w:rsidRDefault="00314483" w:rsidP="52A2ACDF">
      <w:pPr>
        <w:spacing w:after="120" w:line="276" w:lineRule="auto"/>
        <w:rPr>
          <w:rFonts w:ascii="Helvetica" w:eastAsia="Helvetica" w:hAnsi="Helvetica" w:cs="Helvetica"/>
        </w:rPr>
      </w:pPr>
      <w:r w:rsidRPr="00F819AD">
        <w:rPr>
          <w:rFonts w:ascii="Helvetica" w:eastAsia="Helvetica" w:hAnsi="Helvetica" w:cs="Helvetica"/>
        </w:rPr>
        <w:t>Mass incarceration has also contributed to racial wealth inequality through the undermining of families and communities of color. The ‘War on Drugs’ policies</w:t>
      </w:r>
      <w:r w:rsidR="0040626B">
        <w:rPr>
          <w:rFonts w:ascii="Helvetica" w:eastAsia="Helvetica" w:hAnsi="Helvetica" w:cs="Helvetica"/>
        </w:rPr>
        <w:t>,</w:t>
      </w:r>
      <w:r w:rsidRPr="00F819AD">
        <w:rPr>
          <w:rStyle w:val="FootnoteReference"/>
          <w:rFonts w:ascii="Helvetica" w:eastAsia="Helvetica" w:hAnsi="Helvetica" w:cs="Helvetica"/>
          <w:color w:val="0563C1" w:themeColor="hyperlink"/>
          <w:u w:val="single"/>
        </w:rPr>
        <w:footnoteReference w:id="28"/>
      </w:r>
      <w:r w:rsidRPr="00F819AD">
        <w:rPr>
          <w:rFonts w:ascii="Helvetica" w:eastAsia="Helvetica" w:hAnsi="Helvetica" w:cs="Helvetica"/>
        </w:rPr>
        <w:t xml:space="preserve"> implemented and enforced</w:t>
      </w:r>
      <w:r w:rsidR="00F735E5">
        <w:rPr>
          <w:rFonts w:ascii="Helvetica" w:eastAsia="Helvetica" w:hAnsi="Helvetica" w:cs="Helvetica"/>
        </w:rPr>
        <w:t xml:space="preserve"> since the 1970s</w:t>
      </w:r>
      <w:r w:rsidR="0040626B">
        <w:rPr>
          <w:rFonts w:ascii="Helvetica" w:eastAsia="Helvetica" w:hAnsi="Helvetica" w:cs="Helvetica"/>
        </w:rPr>
        <w:t>,</w:t>
      </w:r>
      <w:r w:rsidR="00F735E5">
        <w:rPr>
          <w:rFonts w:ascii="Helvetica" w:eastAsia="Helvetica" w:hAnsi="Helvetica" w:cs="Helvetica"/>
        </w:rPr>
        <w:t xml:space="preserve"> created</w:t>
      </w:r>
      <w:r w:rsidRPr="00F819AD">
        <w:rPr>
          <w:rFonts w:ascii="Helvetica" w:eastAsia="Helvetica" w:hAnsi="Helvetica" w:cs="Helvetica"/>
        </w:rPr>
        <w:t xml:space="preserve"> harsher sentences for drug offenses that resulted in a disproportionate share of </w:t>
      </w:r>
      <w:r>
        <w:rPr>
          <w:rFonts w:ascii="Helvetica" w:eastAsia="Helvetica" w:hAnsi="Helvetica" w:cs="Helvetica"/>
        </w:rPr>
        <w:t>African American</w:t>
      </w:r>
      <w:r w:rsidRPr="00F819AD">
        <w:rPr>
          <w:rFonts w:ascii="Helvetica" w:eastAsia="Helvetica" w:hAnsi="Helvetica" w:cs="Helvetica"/>
        </w:rPr>
        <w:t xml:space="preserve"> men being incarcerated. The effects of incarceration pose significant barriers to building income and wealth both in the short and long term. Because </w:t>
      </w:r>
      <w:hyperlink r:id="rId17" w:history="1">
        <w:r w:rsidRPr="00F819AD">
          <w:rPr>
            <w:rStyle w:val="Hyperlink"/>
            <w:rFonts w:ascii="Helvetica" w:eastAsia="Helvetica" w:hAnsi="Helvetica" w:cs="Helvetica"/>
          </w:rPr>
          <w:t xml:space="preserve">African Americans are 10 times more likely than </w:t>
        </w:r>
        <w:r w:rsidR="00994E4E">
          <w:rPr>
            <w:rStyle w:val="Hyperlink"/>
            <w:rFonts w:ascii="Helvetica" w:eastAsia="Helvetica" w:hAnsi="Helvetica" w:cs="Helvetica"/>
          </w:rPr>
          <w:t>W</w:t>
        </w:r>
        <w:r w:rsidRPr="00F819AD">
          <w:rPr>
            <w:rStyle w:val="Hyperlink"/>
            <w:rFonts w:ascii="Helvetica" w:eastAsia="Helvetica" w:hAnsi="Helvetica" w:cs="Helvetica"/>
          </w:rPr>
          <w:t>hites to be incarcerated</w:t>
        </w:r>
      </w:hyperlink>
      <w:r w:rsidRPr="00F819AD">
        <w:rPr>
          <w:rFonts w:ascii="Helvetica" w:eastAsia="Helvetica" w:hAnsi="Helvetica" w:cs="Helvetica"/>
        </w:rPr>
        <w:t xml:space="preserve"> for similar drug offenses, </w:t>
      </w:r>
      <w:r>
        <w:rPr>
          <w:rFonts w:ascii="Helvetica" w:eastAsia="Helvetica" w:hAnsi="Helvetica" w:cs="Helvetica"/>
        </w:rPr>
        <w:t>African American</w:t>
      </w:r>
      <w:r w:rsidRPr="00F819AD">
        <w:rPr>
          <w:rFonts w:ascii="Helvetica" w:eastAsia="Helvetica" w:hAnsi="Helvetica" w:cs="Helvetica"/>
        </w:rPr>
        <w:t xml:space="preserve"> families are more at risk of living in poverty when a family member or breadwinner is incarcerated. </w:t>
      </w:r>
    </w:p>
    <w:p w14:paraId="63372AC5" w14:textId="6BF8884D" w:rsidR="008131F2" w:rsidRDefault="00314483" w:rsidP="52A2ACDF">
      <w:pPr>
        <w:spacing w:after="240" w:line="276" w:lineRule="auto"/>
        <w:rPr>
          <w:rFonts w:ascii="Helvetica" w:eastAsia="Helvetica" w:hAnsi="Helvetica" w:cs="Helvetica"/>
        </w:rPr>
      </w:pPr>
      <w:r w:rsidRPr="00F819AD">
        <w:rPr>
          <w:rFonts w:ascii="Helvetica" w:eastAsia="Helvetica" w:hAnsi="Helvetica" w:cs="Helvetica"/>
        </w:rPr>
        <w:lastRenderedPageBreak/>
        <w:t>More recently, the Great Recession negatively impacted the wealth of millions of families</w:t>
      </w:r>
      <w:r>
        <w:rPr>
          <w:rFonts w:ascii="Helvetica" w:eastAsia="Helvetica" w:hAnsi="Helvetica" w:cs="Helvetica"/>
        </w:rPr>
        <w:t xml:space="preserve"> living in the U.S.</w:t>
      </w:r>
      <w:r w:rsidRPr="00F819AD">
        <w:rPr>
          <w:rStyle w:val="FootnoteReference"/>
          <w:rFonts w:ascii="Helvetica" w:eastAsia="Helvetica" w:hAnsi="Helvetica" w:cs="Helvetica"/>
        </w:rPr>
        <w:footnoteReference w:id="29"/>
      </w:r>
      <w:r w:rsidRPr="00F819AD">
        <w:rPr>
          <w:rFonts w:ascii="Helvetica" w:eastAsia="Helvetica" w:hAnsi="Helvetica" w:cs="Helvetica"/>
        </w:rPr>
        <w:t xml:space="preserve"> however, the impact has been particularly hard on families of color. </w:t>
      </w:r>
      <w:r w:rsidR="00D334C9">
        <w:rPr>
          <w:rFonts w:ascii="Helvetica" w:eastAsia="Helvetica" w:hAnsi="Helvetica" w:cs="Helvetica"/>
        </w:rPr>
        <w:t xml:space="preserve">As Dr. Ray said in a recent panel on </w:t>
      </w:r>
      <w:r w:rsidR="00C06068">
        <w:rPr>
          <w:rFonts w:ascii="Helvetica" w:eastAsia="Helvetica" w:hAnsi="Helvetica" w:cs="Helvetica"/>
        </w:rPr>
        <w:t>racial wealth inequality, “when America catches a cold, Black communities catch the flu.”</w:t>
      </w:r>
      <w:r w:rsidR="00910C9B">
        <w:rPr>
          <w:rStyle w:val="FootnoteReference"/>
          <w:rFonts w:ascii="Helvetica" w:eastAsia="Helvetica" w:hAnsi="Helvetica" w:cs="Helvetica"/>
        </w:rPr>
        <w:footnoteReference w:id="30"/>
      </w:r>
      <w:r w:rsidR="00C06068">
        <w:rPr>
          <w:rFonts w:ascii="Helvetica" w:eastAsia="Helvetica" w:hAnsi="Helvetica" w:cs="Helvetica"/>
        </w:rPr>
        <w:t xml:space="preserve"> </w:t>
      </w:r>
      <w:r w:rsidRPr="00F819AD">
        <w:rPr>
          <w:rFonts w:ascii="Helvetica" w:eastAsia="Helvetica" w:hAnsi="Helvetica" w:cs="Helvetica"/>
        </w:rPr>
        <w:t xml:space="preserve">White </w:t>
      </w:r>
      <w:r>
        <w:rPr>
          <w:rFonts w:ascii="Helvetica" w:eastAsia="Helvetica" w:hAnsi="Helvetica" w:cs="Helvetica"/>
        </w:rPr>
        <w:t xml:space="preserve">folks </w:t>
      </w:r>
      <w:r w:rsidRPr="00F819AD">
        <w:rPr>
          <w:rFonts w:ascii="Helvetica" w:eastAsia="Helvetica" w:hAnsi="Helvetica" w:cs="Helvetica"/>
        </w:rPr>
        <w:t xml:space="preserve">have had a huge head start in generating wealth throughout our nation’s history, while </w:t>
      </w:r>
      <w:r w:rsidR="005218CC">
        <w:rPr>
          <w:rFonts w:ascii="Helvetica" w:eastAsia="Helvetica" w:hAnsi="Helvetica" w:cs="Helvetica"/>
        </w:rPr>
        <w:t xml:space="preserve">most </w:t>
      </w:r>
      <w:r>
        <w:rPr>
          <w:rFonts w:ascii="Helvetica" w:eastAsia="Helvetica" w:hAnsi="Helvetica" w:cs="Helvetica"/>
        </w:rPr>
        <w:t>people</w:t>
      </w:r>
      <w:r w:rsidRPr="00F819AD">
        <w:rPr>
          <w:rFonts w:ascii="Helvetica" w:eastAsia="Helvetica" w:hAnsi="Helvetica" w:cs="Helvetica"/>
        </w:rPr>
        <w:t xml:space="preserve"> of color were only given meaningful opportunities to build wealth 1-2 generations ago. </w:t>
      </w:r>
      <w:r w:rsidR="00095091">
        <w:rPr>
          <w:rFonts w:ascii="Helvetica" w:eastAsia="Helvetica" w:hAnsi="Helvetica" w:cs="Helvetica"/>
        </w:rPr>
        <w:t>H</w:t>
      </w:r>
      <w:r w:rsidR="00246F1B">
        <w:rPr>
          <w:rFonts w:ascii="Helvetica" w:eastAsia="Helvetica" w:hAnsi="Helvetica" w:cs="Helvetica"/>
        </w:rPr>
        <w:t xml:space="preserve">omeownership represents a larger share of assets for </w:t>
      </w:r>
      <w:r w:rsidR="00276D61">
        <w:rPr>
          <w:rFonts w:ascii="Helvetica" w:eastAsia="Helvetica" w:hAnsi="Helvetica" w:cs="Helvetica"/>
        </w:rPr>
        <w:t>people of color</w:t>
      </w:r>
      <w:r w:rsidR="00095091">
        <w:rPr>
          <w:rFonts w:ascii="Helvetica" w:eastAsia="Helvetica" w:hAnsi="Helvetica" w:cs="Helvetica"/>
        </w:rPr>
        <w:t>,</w:t>
      </w:r>
      <w:r w:rsidR="00246F1B">
        <w:rPr>
          <w:rFonts w:ascii="Helvetica" w:eastAsia="Helvetica" w:hAnsi="Helvetica" w:cs="Helvetica"/>
        </w:rPr>
        <w:t xml:space="preserve"> making them most vulnerable to the </w:t>
      </w:r>
      <w:r w:rsidR="00117985">
        <w:rPr>
          <w:rFonts w:ascii="Helvetica" w:eastAsia="Helvetica" w:hAnsi="Helvetica" w:cs="Helvetica"/>
        </w:rPr>
        <w:t xml:space="preserve">downturn in home values from </w:t>
      </w:r>
      <w:r w:rsidR="00307192">
        <w:rPr>
          <w:rFonts w:ascii="Helvetica" w:eastAsia="Helvetica" w:hAnsi="Helvetica" w:cs="Helvetica"/>
        </w:rPr>
        <w:t xml:space="preserve">the </w:t>
      </w:r>
      <w:r w:rsidR="009409C3">
        <w:rPr>
          <w:rFonts w:ascii="Helvetica" w:eastAsia="Helvetica" w:hAnsi="Helvetica" w:cs="Helvetica"/>
        </w:rPr>
        <w:t>Great Recession</w:t>
      </w:r>
      <w:r w:rsidR="00117985">
        <w:rPr>
          <w:rFonts w:ascii="Helvetica" w:eastAsia="Helvetica" w:hAnsi="Helvetica" w:cs="Helvetica"/>
        </w:rPr>
        <w:t>.</w:t>
      </w:r>
      <w:r w:rsidR="00822F8B">
        <w:rPr>
          <w:rFonts w:ascii="Helvetica" w:eastAsia="Helvetica" w:hAnsi="Helvetica" w:cs="Helvetica"/>
        </w:rPr>
        <w:t xml:space="preserve"> </w:t>
      </w:r>
      <w:r w:rsidR="003F67E4">
        <w:rPr>
          <w:rFonts w:ascii="Helvetica" w:eastAsia="Helvetica" w:hAnsi="Helvetica" w:cs="Helvetica"/>
        </w:rPr>
        <w:t>Additionally</w:t>
      </w:r>
      <w:r w:rsidR="007365A2">
        <w:rPr>
          <w:rFonts w:ascii="Helvetica" w:eastAsia="Helvetica" w:hAnsi="Helvetica" w:cs="Helvetica"/>
        </w:rPr>
        <w:t xml:space="preserve">, predominately Black neighborhoods were more apt to </w:t>
      </w:r>
      <w:r w:rsidR="003F67E4">
        <w:rPr>
          <w:rFonts w:ascii="Helvetica" w:eastAsia="Helvetica" w:hAnsi="Helvetica" w:cs="Helvetica"/>
        </w:rPr>
        <w:t>lose value in their homes.</w:t>
      </w:r>
      <w:r w:rsidR="003F67E4">
        <w:rPr>
          <w:rStyle w:val="FootnoteReference"/>
          <w:rFonts w:ascii="Helvetica" w:eastAsia="Helvetica" w:hAnsi="Helvetica" w:cs="Helvetica"/>
        </w:rPr>
        <w:footnoteReference w:id="31"/>
      </w:r>
      <w:r w:rsidR="003F67E4">
        <w:rPr>
          <w:rFonts w:ascii="Helvetica" w:eastAsia="Helvetica" w:hAnsi="Helvetica" w:cs="Helvetica"/>
        </w:rPr>
        <w:t xml:space="preserve"> </w:t>
      </w:r>
      <w:r w:rsidR="00117985">
        <w:rPr>
          <w:rFonts w:ascii="Helvetica" w:eastAsia="Helvetica" w:hAnsi="Helvetica" w:cs="Helvetica"/>
        </w:rPr>
        <w:t>Because of this</w:t>
      </w:r>
      <w:r w:rsidR="00307192">
        <w:rPr>
          <w:rFonts w:ascii="Helvetica" w:eastAsia="Helvetica" w:hAnsi="Helvetica" w:cs="Helvetica"/>
        </w:rPr>
        <w:t>,</w:t>
      </w:r>
      <w:r w:rsidR="00117985">
        <w:rPr>
          <w:rFonts w:ascii="Helvetica" w:eastAsia="Helvetica" w:hAnsi="Helvetica" w:cs="Helvetica"/>
        </w:rPr>
        <w:t xml:space="preserve"> many households of color have </w:t>
      </w:r>
      <w:r w:rsidR="003758BB">
        <w:rPr>
          <w:rFonts w:ascii="Helvetica" w:eastAsia="Helvetica" w:hAnsi="Helvetica" w:cs="Helvetica"/>
        </w:rPr>
        <w:t>yet</w:t>
      </w:r>
      <w:r w:rsidR="00117985">
        <w:rPr>
          <w:rFonts w:ascii="Helvetica" w:eastAsia="Helvetica" w:hAnsi="Helvetica" w:cs="Helvetica"/>
        </w:rPr>
        <w:t xml:space="preserve"> to experience full recovery from the 2008 housing crisis</w:t>
      </w:r>
      <w:r w:rsidR="003758BB">
        <w:rPr>
          <w:rFonts w:ascii="Helvetica" w:eastAsia="Helvetica" w:hAnsi="Helvetica" w:cs="Helvetica"/>
        </w:rPr>
        <w:t>.</w:t>
      </w:r>
      <w:r w:rsidR="000449E3">
        <w:rPr>
          <w:rStyle w:val="FootnoteReference"/>
          <w:rFonts w:ascii="Helvetica" w:eastAsia="Helvetica" w:hAnsi="Helvetica" w:cs="Helvetica"/>
        </w:rPr>
        <w:footnoteReference w:id="32"/>
      </w:r>
      <w:r w:rsidR="00A207EC">
        <w:rPr>
          <w:rFonts w:ascii="Helvetica" w:eastAsia="Helvetica" w:hAnsi="Helvetica" w:cs="Helvetica"/>
          <w:vertAlign w:val="superscript"/>
        </w:rPr>
        <w:t>&amp;</w:t>
      </w:r>
      <w:r w:rsidR="00A207EC">
        <w:rPr>
          <w:rStyle w:val="FootnoteReference"/>
          <w:rFonts w:ascii="Helvetica" w:eastAsia="Helvetica" w:hAnsi="Helvetica" w:cs="Helvetica"/>
        </w:rPr>
        <w:footnoteReference w:id="33"/>
      </w:r>
      <w:r w:rsidR="003758BB">
        <w:rPr>
          <w:rFonts w:ascii="Helvetica" w:eastAsia="Helvetica" w:hAnsi="Helvetica" w:cs="Helvetica"/>
        </w:rPr>
        <w:t xml:space="preserve"> </w:t>
      </w:r>
      <w:r w:rsidRPr="00F819AD">
        <w:rPr>
          <w:rFonts w:ascii="Helvetica" w:eastAsia="Helvetica" w:hAnsi="Helvetica" w:cs="Helvetica"/>
        </w:rPr>
        <w:t>Without the comparable wealth that was intentionally denied to them for so long, families of color are much more vulnerable to financial emergencies and have less opportunity to move up the economic ladder.</w:t>
      </w:r>
    </w:p>
    <w:p w14:paraId="235B9805" w14:textId="3CDDED87" w:rsidR="00325E29" w:rsidRPr="00325E29" w:rsidRDefault="00325E29" w:rsidP="00C546C8">
      <w:pPr>
        <w:spacing w:after="240" w:line="276" w:lineRule="auto"/>
        <w:rPr>
          <w:rStyle w:val="eop"/>
          <w:rFonts w:ascii="Arial" w:eastAsia="Arial" w:hAnsi="Arial" w:cs="Arial"/>
          <w:b/>
          <w:bCs/>
          <w:color w:val="C00000"/>
          <w:sz w:val="36"/>
          <w:szCs w:val="36"/>
        </w:rPr>
      </w:pPr>
      <w:r>
        <w:rPr>
          <w:noProof/>
        </w:rPr>
        <w:lastRenderedPageBreak/>
        <w:drawing>
          <wp:anchor distT="0" distB="0" distL="114300" distR="114300" simplePos="0" relativeHeight="251659264" behindDoc="0" locked="0" layoutInCell="1" allowOverlap="1" wp14:anchorId="539236F5" wp14:editId="0242975D">
            <wp:simplePos x="0" y="0"/>
            <wp:positionH relativeFrom="margin">
              <wp:align>right</wp:align>
            </wp:positionH>
            <wp:positionV relativeFrom="paragraph">
              <wp:posOffset>330200</wp:posOffset>
            </wp:positionV>
            <wp:extent cx="3299460" cy="3589020"/>
            <wp:effectExtent l="57150" t="57150" r="110490" b="106680"/>
            <wp:wrapSquare wrapText="bothSides"/>
            <wp:docPr id="38044489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8">
                      <a:extLst>
                        <a:ext uri="{28A0092B-C50C-407E-A947-70E740481C1C}">
                          <a14:useLocalDpi xmlns:a14="http://schemas.microsoft.com/office/drawing/2010/main" val="0"/>
                        </a:ext>
                      </a:extLst>
                    </a:blip>
                    <a:stretch>
                      <a:fillRect/>
                    </a:stretch>
                  </pic:blipFill>
                  <pic:spPr>
                    <a:xfrm>
                      <a:off x="0" y="0"/>
                      <a:ext cx="3299460" cy="358902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3A878784" w:rsidRPr="3A878784">
        <w:rPr>
          <w:rStyle w:val="eop"/>
          <w:rFonts w:ascii="Arial" w:eastAsia="Arial" w:hAnsi="Arial" w:cs="Arial"/>
          <w:b/>
          <w:bCs/>
          <w:color w:val="C00000"/>
          <w:sz w:val="36"/>
          <w:szCs w:val="36"/>
        </w:rPr>
        <w:t>How Tax Policy Exacerbates Racial Wealth Inequality</w:t>
      </w:r>
    </w:p>
    <w:p w14:paraId="62BF54CB" w14:textId="6B6F924F" w:rsidR="008131F2" w:rsidRDefault="00325E29" w:rsidP="00C546C8">
      <w:pPr>
        <w:pStyle w:val="paragraph"/>
        <w:spacing w:after="240" w:line="276" w:lineRule="auto"/>
        <w:rPr>
          <w:rStyle w:val="eop"/>
          <w:rFonts w:ascii="Helvetica" w:eastAsia="Helvetica" w:hAnsi="Helvetica" w:cs="Helvetica"/>
          <w:b/>
          <w:bCs/>
          <w:sz w:val="28"/>
          <w:szCs w:val="28"/>
        </w:rPr>
      </w:pPr>
      <w:r w:rsidRPr="00325E29">
        <w:rPr>
          <w:rStyle w:val="eop"/>
          <w:rFonts w:ascii="Arial" w:eastAsia="Arial" w:hAnsi="Arial" w:cs="Arial"/>
          <w:b/>
          <w:bCs/>
          <w:noProof/>
          <w:color w:val="C00000"/>
          <w:sz w:val="36"/>
          <w:szCs w:val="36"/>
        </w:rPr>
        <mc:AlternateContent>
          <mc:Choice Requires="wps">
            <w:drawing>
              <wp:anchor distT="45720" distB="45720" distL="114300" distR="114300" simplePos="0" relativeHeight="251660288" behindDoc="0" locked="0" layoutInCell="1" allowOverlap="1" wp14:anchorId="69BCB133" wp14:editId="284B2AE5">
                <wp:simplePos x="0" y="0"/>
                <wp:positionH relativeFrom="column">
                  <wp:posOffset>2533650</wp:posOffset>
                </wp:positionH>
                <wp:positionV relativeFrom="paragraph">
                  <wp:posOffset>3571875</wp:posOffset>
                </wp:positionV>
                <wp:extent cx="3324225" cy="33337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333375"/>
                        </a:xfrm>
                        <a:prstGeom prst="rect">
                          <a:avLst/>
                        </a:prstGeom>
                        <a:solidFill>
                          <a:srgbClr val="FFFFFF"/>
                        </a:solidFill>
                        <a:ln w="9525">
                          <a:noFill/>
                          <a:miter lim="800000"/>
                          <a:headEnd/>
                          <a:tailEnd/>
                        </a:ln>
                      </wps:spPr>
                      <wps:txbx>
                        <w:txbxContent>
                          <w:p w14:paraId="47A207DE" w14:textId="6428B501" w:rsidR="00325E29" w:rsidRPr="00BD6886" w:rsidRDefault="00325E29" w:rsidP="00325E29">
                            <w:pPr>
                              <w:jc w:val="center"/>
                              <w:rPr>
                                <w:rFonts w:ascii="Helvetica" w:hAnsi="Helvetica" w:cs="Helvetica"/>
                                <w:color w:val="7F7F7F" w:themeColor="text1" w:themeTint="80"/>
                                <w:vertAlign w:val="superscript"/>
                              </w:rPr>
                            </w:pPr>
                            <w:r w:rsidRPr="00325E29">
                              <w:rPr>
                                <w:rFonts w:ascii="Helvetica" w:hAnsi="Helvetica" w:cs="Helvetica"/>
                                <w:color w:val="7F7F7F" w:themeColor="text1" w:themeTint="80"/>
                              </w:rPr>
                              <w:t>Figure</w:t>
                            </w:r>
                            <w:r w:rsidR="007843B4">
                              <w:rPr>
                                <w:rFonts w:ascii="Helvetica" w:hAnsi="Helvetica" w:cs="Helvetica"/>
                                <w:color w:val="7F7F7F" w:themeColor="text1" w:themeTint="80"/>
                              </w:rPr>
                              <w:t xml:space="preserve"> </w:t>
                            </w:r>
                            <w:r w:rsidR="005235F6">
                              <w:rPr>
                                <w:rFonts w:ascii="Helvetica" w:hAnsi="Helvetica" w:cs="Helvetica"/>
                                <w:color w:val="7F7F7F" w:themeColor="text1" w:themeTint="80"/>
                              </w:rPr>
                              <w:t>2</w:t>
                            </w:r>
                            <w:r w:rsidR="00824D87">
                              <w:rPr>
                                <w:rFonts w:ascii="Helvetica" w:hAnsi="Helvetica" w:cs="Helvetica"/>
                                <w:color w:val="7F7F7F" w:themeColor="text1" w:themeTint="80"/>
                                <w:vertAlign w:val="superscript"/>
                              </w:rPr>
                              <w:t>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BCB133" id="_x0000_t202" coordsize="21600,21600" o:spt="202" path="m,l,21600r21600,l21600,xe">
                <v:stroke joinstyle="miter"/>
                <v:path gradientshapeok="t" o:connecttype="rect"/>
              </v:shapetype>
              <v:shape id="Text Box 2" o:spid="_x0000_s1026" type="#_x0000_t202" style="position:absolute;margin-left:199.5pt;margin-top:281.25pt;width:261.75pt;height:2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" stroked="f">
                <v:textbox>
                  <w:txbxContent>
                    <w:p w14:paraId="47A207DE" w14:textId="6428B501" w:rsidR="00325E29" w:rsidRPr="00BD6886" w:rsidRDefault="00325E29" w:rsidP="00325E29">
                      <w:pPr>
                        <w:jc w:val="center"/>
                        <w:rPr>
                          <w:rFonts w:ascii="Helvetica" w:hAnsi="Helvetica" w:cs="Helvetica"/>
                          <w:color w:val="7F7F7F" w:themeColor="text1" w:themeTint="80"/>
                          <w:vertAlign w:val="superscript"/>
                        </w:rPr>
                      </w:pPr>
                      <w:r w:rsidRPr="00325E29">
                        <w:rPr>
                          <w:rFonts w:ascii="Helvetica" w:hAnsi="Helvetica" w:cs="Helvetica"/>
                          <w:color w:val="7F7F7F" w:themeColor="text1" w:themeTint="80"/>
                        </w:rPr>
                        <w:t>Figure</w:t>
                      </w:r>
                      <w:r w:rsidR="007843B4">
                        <w:rPr>
                          <w:rFonts w:ascii="Helvetica" w:hAnsi="Helvetica" w:cs="Helvetica"/>
                          <w:color w:val="7F7F7F" w:themeColor="text1" w:themeTint="80"/>
                        </w:rPr>
                        <w:t xml:space="preserve"> </w:t>
                      </w:r>
                      <w:r w:rsidR="005235F6">
                        <w:rPr>
                          <w:rFonts w:ascii="Helvetica" w:hAnsi="Helvetica" w:cs="Helvetica"/>
                          <w:color w:val="7F7F7F" w:themeColor="text1" w:themeTint="80"/>
                        </w:rPr>
                        <w:t>2</w:t>
                      </w:r>
                      <w:r w:rsidR="00824D87">
                        <w:rPr>
                          <w:rFonts w:ascii="Helvetica" w:hAnsi="Helvetica" w:cs="Helvetica"/>
                          <w:color w:val="7F7F7F" w:themeColor="text1" w:themeTint="80"/>
                          <w:vertAlign w:val="superscript"/>
                        </w:rPr>
                        <w:t>33</w:t>
                      </w:r>
                    </w:p>
                  </w:txbxContent>
                </v:textbox>
                <w10:wrap type="square"/>
              </v:shape>
            </w:pict>
          </mc:Fallback>
        </mc:AlternateContent>
      </w:r>
      <w:r w:rsidR="3A878784" w:rsidRPr="3A878784">
        <w:rPr>
          <w:rStyle w:val="eop"/>
          <w:rFonts w:ascii="Helvetica" w:eastAsia="Helvetica" w:hAnsi="Helvetica" w:cs="Helvetica"/>
          <w:sz w:val="22"/>
          <w:szCs w:val="22"/>
        </w:rPr>
        <w:t xml:space="preserve">Wealth inequality and the racial divide are pervasive injustices in this country that has lasted for too long. It is important that we understand how poverty rates and wealth inequality disproportionately affect specific communities – and, if possible, lay the groundwork for policy work to close the racial wealth divide. Tax fairness is not only important in </w:t>
      </w:r>
      <w:proofErr w:type="gramStart"/>
      <w:r w:rsidR="3A878784" w:rsidRPr="3A878784">
        <w:rPr>
          <w:rStyle w:val="eop"/>
          <w:rFonts w:ascii="Helvetica" w:eastAsia="Helvetica" w:hAnsi="Helvetica" w:cs="Helvetica"/>
          <w:sz w:val="22"/>
          <w:szCs w:val="22"/>
        </w:rPr>
        <w:t>lifting up</w:t>
      </w:r>
      <w:proofErr w:type="gramEnd"/>
      <w:r w:rsidR="3A878784" w:rsidRPr="3A878784">
        <w:rPr>
          <w:rStyle w:val="eop"/>
          <w:rFonts w:ascii="Helvetica" w:eastAsia="Helvetica" w:hAnsi="Helvetica" w:cs="Helvetica"/>
          <w:sz w:val="22"/>
          <w:szCs w:val="22"/>
        </w:rPr>
        <w:t xml:space="preserve"> all families but is particularly critical in supporting families of color to move up the socio-economic ladder. Prior to the passage of major federal tax cuts in 2017, the U.S. tax code already included </w:t>
      </w:r>
      <w:hyperlink r:id="rId19">
        <w:r w:rsidR="3A878784" w:rsidRPr="3A878784">
          <w:rPr>
            <w:rStyle w:val="Hyperlink"/>
            <w:rFonts w:ascii="Helvetica" w:eastAsia="Helvetica" w:hAnsi="Helvetica" w:cs="Helvetica"/>
            <w:sz w:val="22"/>
            <w:szCs w:val="22"/>
          </w:rPr>
          <w:t>over half a trillion dollars in tax benefits</w:t>
        </w:r>
      </w:hyperlink>
      <w:r w:rsidR="3A878784" w:rsidRPr="3A878784">
        <w:rPr>
          <w:rStyle w:val="Hyperlink"/>
          <w:rFonts w:ascii="Helvetica" w:eastAsia="Helvetica" w:hAnsi="Helvetica" w:cs="Helvetica"/>
          <w:sz w:val="22"/>
          <w:szCs w:val="22"/>
        </w:rPr>
        <w:t xml:space="preserve"> </w:t>
      </w:r>
      <w:r w:rsidR="3A878784" w:rsidRPr="3A878784">
        <w:rPr>
          <w:rStyle w:val="FootnoteReference"/>
          <w:rFonts w:ascii="Helvetica" w:eastAsia="Helvetica" w:hAnsi="Helvetica" w:cs="Helvetica"/>
          <w:sz w:val="22"/>
          <w:szCs w:val="22"/>
        </w:rPr>
        <w:footnoteReference w:id="34"/>
      </w:r>
      <w:r w:rsidR="3A878784" w:rsidRPr="3A878784">
        <w:rPr>
          <w:rStyle w:val="eop"/>
          <w:rFonts w:ascii="Helvetica" w:eastAsia="Helvetica" w:hAnsi="Helvetica" w:cs="Helvetica"/>
          <w:sz w:val="22"/>
          <w:szCs w:val="22"/>
        </w:rPr>
        <w:t xml:space="preserve">(see Figure </w:t>
      </w:r>
      <w:r w:rsidR="005235F6">
        <w:rPr>
          <w:rStyle w:val="eop"/>
          <w:rFonts w:ascii="Helvetica" w:eastAsia="Helvetica" w:hAnsi="Helvetica" w:cs="Helvetica"/>
          <w:sz w:val="22"/>
          <w:szCs w:val="22"/>
        </w:rPr>
        <w:t>2</w:t>
      </w:r>
      <w:r w:rsidR="3A878784" w:rsidRPr="3A878784">
        <w:rPr>
          <w:rStyle w:val="eop"/>
          <w:rFonts w:ascii="Helvetica" w:eastAsia="Helvetica" w:hAnsi="Helvetica" w:cs="Helvetica"/>
          <w:sz w:val="22"/>
          <w:szCs w:val="22"/>
        </w:rPr>
        <w:t xml:space="preserve">) that incentivize households to save and invest. However, lower-income households and households of color are largely excluded from these benefits. </w:t>
      </w:r>
      <w:r w:rsidR="00963CFF">
        <w:rPr>
          <w:rStyle w:val="eop"/>
          <w:rFonts w:ascii="Helvetica" w:eastAsia="Helvetica" w:hAnsi="Helvetica" w:cs="Helvetica"/>
          <w:sz w:val="22"/>
          <w:szCs w:val="22"/>
        </w:rPr>
        <w:t>As was stated in the</w:t>
      </w:r>
      <w:r w:rsidR="002A13C8">
        <w:rPr>
          <w:rStyle w:val="eop"/>
          <w:rFonts w:ascii="Helvetica" w:eastAsia="Helvetica" w:hAnsi="Helvetica" w:cs="Helvetica"/>
          <w:sz w:val="22"/>
          <w:szCs w:val="22"/>
        </w:rPr>
        <w:t xml:space="preserve"> </w:t>
      </w:r>
      <w:hyperlink r:id="rId20" w:history="1">
        <w:r w:rsidR="004D4D6D">
          <w:rPr>
            <w:rStyle w:val="Hyperlink"/>
            <w:rFonts w:ascii="Helvetica" w:eastAsia="Helvetica" w:hAnsi="Helvetica" w:cs="Helvetica"/>
            <w:sz w:val="22"/>
            <w:szCs w:val="22"/>
          </w:rPr>
          <w:t xml:space="preserve">first </w:t>
        </w:r>
        <w:r w:rsidR="00E51BFA">
          <w:rPr>
            <w:rStyle w:val="Hyperlink"/>
            <w:rFonts w:ascii="Helvetica" w:eastAsia="Helvetica" w:hAnsi="Helvetica" w:cs="Helvetica"/>
            <w:sz w:val="22"/>
            <w:szCs w:val="22"/>
          </w:rPr>
          <w:t>brief</w:t>
        </w:r>
      </w:hyperlink>
      <w:r w:rsidR="00113170">
        <w:rPr>
          <w:rStyle w:val="eop"/>
          <w:rFonts w:ascii="Helvetica" w:eastAsia="Helvetica" w:hAnsi="Helvetica" w:cs="Helvetica"/>
          <w:sz w:val="22"/>
          <w:szCs w:val="22"/>
        </w:rPr>
        <w:t>,</w:t>
      </w:r>
      <w:r w:rsidR="000062AB">
        <w:rPr>
          <w:rStyle w:val="FootnoteReference"/>
          <w:rFonts w:ascii="Helvetica" w:eastAsia="Helvetica" w:hAnsi="Helvetica" w:cs="Helvetica"/>
          <w:sz w:val="22"/>
          <w:szCs w:val="22"/>
        </w:rPr>
        <w:footnoteReference w:id="35"/>
      </w:r>
      <w:r w:rsidR="00113170">
        <w:rPr>
          <w:rStyle w:val="eop"/>
          <w:rFonts w:ascii="Helvetica" w:eastAsia="Helvetica" w:hAnsi="Helvetica" w:cs="Helvetica"/>
          <w:sz w:val="22"/>
          <w:szCs w:val="22"/>
        </w:rPr>
        <w:t xml:space="preserve"> </w:t>
      </w:r>
      <w:r w:rsidR="003231F0" w:rsidRPr="52A2ACDF">
        <w:rPr>
          <w:rStyle w:val="eop"/>
          <w:rFonts w:ascii="Helvetica" w:eastAsia="Helvetica" w:hAnsi="Helvetica" w:cs="Helvetica"/>
          <w:i/>
          <w:iCs/>
          <w:sz w:val="22"/>
          <w:szCs w:val="22"/>
        </w:rPr>
        <w:t>Why is Wealth So Important</w:t>
      </w:r>
      <w:r w:rsidR="00113170" w:rsidRPr="52A2ACDF">
        <w:rPr>
          <w:rStyle w:val="eop"/>
          <w:rFonts w:ascii="Helvetica" w:eastAsia="Helvetica" w:hAnsi="Helvetica" w:cs="Helvetica"/>
          <w:i/>
          <w:iCs/>
          <w:sz w:val="22"/>
          <w:szCs w:val="22"/>
        </w:rPr>
        <w:t>,</w:t>
      </w:r>
      <w:r w:rsidR="003231F0">
        <w:rPr>
          <w:rStyle w:val="eop"/>
          <w:rFonts w:ascii="Helvetica" w:eastAsia="Helvetica" w:hAnsi="Helvetica" w:cs="Helvetica"/>
          <w:sz w:val="22"/>
          <w:szCs w:val="22"/>
        </w:rPr>
        <w:t xml:space="preserve"> the Mortgage Interest Deduction</w:t>
      </w:r>
      <w:r w:rsidR="00F300F4">
        <w:rPr>
          <w:rStyle w:val="eop"/>
          <w:rFonts w:ascii="Helvetica" w:eastAsia="Helvetica" w:hAnsi="Helvetica" w:cs="Helvetica"/>
          <w:sz w:val="22"/>
          <w:szCs w:val="22"/>
        </w:rPr>
        <w:t xml:space="preserve"> (MID)</w:t>
      </w:r>
      <w:r w:rsidR="00F300F4" w:rsidRPr="3A878784">
        <w:rPr>
          <w:rStyle w:val="FootnoteReference"/>
          <w:rFonts w:ascii="Helvetica" w:eastAsia="Helvetica" w:hAnsi="Helvetica" w:cs="Helvetica"/>
          <w:sz w:val="22"/>
          <w:szCs w:val="22"/>
        </w:rPr>
        <w:footnoteReference w:id="36"/>
      </w:r>
      <w:r w:rsidR="00113170">
        <w:rPr>
          <w:rStyle w:val="eop"/>
          <w:rFonts w:ascii="Helvetica" w:eastAsia="Helvetica" w:hAnsi="Helvetica" w:cs="Helvetica"/>
          <w:sz w:val="22"/>
          <w:szCs w:val="22"/>
        </w:rPr>
        <w:t xml:space="preserve"> </w:t>
      </w:r>
      <w:r w:rsidR="00F300F4" w:rsidRPr="3A878784">
        <w:rPr>
          <w:rStyle w:val="eop"/>
          <w:rFonts w:ascii="Helvetica" w:eastAsia="Helvetica" w:hAnsi="Helvetica" w:cs="Helvetica"/>
          <w:sz w:val="22"/>
          <w:szCs w:val="22"/>
        </w:rPr>
        <w:t>allows existing homeowners to deduct the interest on their mortgage and other home-related costs</w:t>
      </w:r>
      <w:r w:rsidR="00F300F4">
        <w:rPr>
          <w:rStyle w:val="eop"/>
          <w:rFonts w:ascii="Helvetica" w:eastAsia="Helvetica" w:hAnsi="Helvetica" w:cs="Helvetica"/>
          <w:sz w:val="22"/>
          <w:szCs w:val="22"/>
        </w:rPr>
        <w:t>,</w:t>
      </w:r>
      <w:r w:rsidR="003231F0">
        <w:rPr>
          <w:rStyle w:val="eop"/>
          <w:rFonts w:ascii="Helvetica" w:eastAsia="Helvetica" w:hAnsi="Helvetica" w:cs="Helvetica"/>
          <w:sz w:val="22"/>
          <w:szCs w:val="22"/>
        </w:rPr>
        <w:t xml:space="preserve"> </w:t>
      </w:r>
      <w:r w:rsidR="005D0E4D">
        <w:rPr>
          <w:rStyle w:val="eop"/>
          <w:rFonts w:ascii="Helvetica" w:eastAsia="Helvetica" w:hAnsi="Helvetica" w:cs="Helvetica"/>
          <w:sz w:val="22"/>
          <w:szCs w:val="22"/>
        </w:rPr>
        <w:t xml:space="preserve">providing tax benefits largely to wealthy, </w:t>
      </w:r>
      <w:r w:rsidR="00994E4E">
        <w:rPr>
          <w:rStyle w:val="eop"/>
          <w:rFonts w:ascii="Helvetica" w:eastAsia="Helvetica" w:hAnsi="Helvetica" w:cs="Helvetica"/>
          <w:sz w:val="22"/>
          <w:szCs w:val="22"/>
        </w:rPr>
        <w:t>W</w:t>
      </w:r>
      <w:r w:rsidR="005D0E4D">
        <w:rPr>
          <w:rStyle w:val="eop"/>
          <w:rFonts w:ascii="Helvetica" w:eastAsia="Helvetica" w:hAnsi="Helvetica" w:cs="Helvetica"/>
          <w:sz w:val="22"/>
          <w:szCs w:val="22"/>
        </w:rPr>
        <w:t xml:space="preserve">hite households. </w:t>
      </w:r>
      <w:hyperlink r:id="rId21">
        <w:r w:rsidR="00F300F4">
          <w:rPr>
            <w:rStyle w:val="Hyperlink"/>
            <w:rFonts w:ascii="Helvetica" w:eastAsia="Helvetica" w:hAnsi="Helvetica" w:cs="Helvetica"/>
            <w:sz w:val="22"/>
            <w:szCs w:val="22"/>
          </w:rPr>
          <w:t>L</w:t>
        </w:r>
        <w:r w:rsidR="3A878784" w:rsidRPr="3A878784">
          <w:rPr>
            <w:rStyle w:val="Hyperlink"/>
            <w:rFonts w:ascii="Helvetica" w:eastAsia="Helvetica" w:hAnsi="Helvetica" w:cs="Helvetica"/>
            <w:sz w:val="22"/>
            <w:szCs w:val="22"/>
          </w:rPr>
          <w:t xml:space="preserve">ess than half of African American </w:t>
        </w:r>
        <w:proofErr w:type="gramStart"/>
        <w:r w:rsidR="3A878784" w:rsidRPr="3A878784">
          <w:rPr>
            <w:rStyle w:val="Hyperlink"/>
            <w:rFonts w:ascii="Helvetica" w:eastAsia="Helvetica" w:hAnsi="Helvetica" w:cs="Helvetica"/>
            <w:sz w:val="22"/>
            <w:szCs w:val="22"/>
          </w:rPr>
          <w:t>households</w:t>
        </w:r>
        <w:proofErr w:type="gramEnd"/>
        <w:r w:rsidR="3A878784" w:rsidRPr="3A878784">
          <w:rPr>
            <w:rStyle w:val="Hyperlink"/>
            <w:rFonts w:ascii="Helvetica" w:eastAsia="Helvetica" w:hAnsi="Helvetica" w:cs="Helvetica"/>
            <w:sz w:val="22"/>
            <w:szCs w:val="22"/>
          </w:rPr>
          <w:t xml:space="preserve"> own homes</w:t>
        </w:r>
      </w:hyperlink>
      <w:r w:rsidR="3A878784" w:rsidRPr="3A878784">
        <w:rPr>
          <w:rStyle w:val="eop"/>
          <w:rFonts w:ascii="Helvetica" w:eastAsia="Helvetica" w:hAnsi="Helvetica" w:cs="Helvetica"/>
          <w:sz w:val="22"/>
          <w:szCs w:val="22"/>
        </w:rPr>
        <w:t xml:space="preserve"> and are thus less likely to take advantage of homeownership tax subsidies</w:t>
      </w:r>
      <w:r w:rsidR="00F300F4">
        <w:rPr>
          <w:rStyle w:val="eop"/>
          <w:rFonts w:ascii="Helvetica" w:eastAsia="Helvetica" w:hAnsi="Helvetica" w:cs="Helvetica"/>
          <w:sz w:val="22"/>
          <w:szCs w:val="22"/>
        </w:rPr>
        <w:t>.</w:t>
      </w:r>
      <w:r w:rsidR="3A878784" w:rsidRPr="3A878784">
        <w:rPr>
          <w:rStyle w:val="eop"/>
          <w:rFonts w:ascii="Helvetica" w:eastAsia="Helvetica" w:hAnsi="Helvetica" w:cs="Helvetica"/>
          <w:sz w:val="22"/>
          <w:szCs w:val="22"/>
        </w:rPr>
        <w:t xml:space="preserve"> </w:t>
      </w:r>
      <w:r w:rsidR="003B4275">
        <w:rPr>
          <w:rStyle w:val="eop"/>
          <w:rFonts w:ascii="Helvetica" w:eastAsia="Helvetica" w:hAnsi="Helvetica" w:cs="Helvetica"/>
          <w:sz w:val="22"/>
          <w:szCs w:val="22"/>
        </w:rPr>
        <w:t>Pr</w:t>
      </w:r>
      <w:r w:rsidR="00C07C09">
        <w:rPr>
          <w:rStyle w:val="eop"/>
          <w:rFonts w:ascii="Helvetica" w:eastAsia="Helvetica" w:hAnsi="Helvetica" w:cs="Helvetica"/>
          <w:sz w:val="22"/>
          <w:szCs w:val="22"/>
        </w:rPr>
        <w:t xml:space="preserve">ior to passage of the TCJA, </w:t>
      </w:r>
      <w:r w:rsidR="3A878784" w:rsidRPr="3A878784">
        <w:rPr>
          <w:rStyle w:val="eop"/>
          <w:rFonts w:ascii="Helvetica" w:eastAsia="Helvetica" w:hAnsi="Helvetica" w:cs="Helvetica"/>
          <w:sz w:val="22"/>
          <w:szCs w:val="22"/>
        </w:rPr>
        <w:t xml:space="preserve">African Americans and Hispanics each </w:t>
      </w:r>
      <w:r w:rsidR="00C07C09">
        <w:rPr>
          <w:rStyle w:val="eop"/>
          <w:rFonts w:ascii="Helvetica" w:eastAsia="Helvetica" w:hAnsi="Helvetica" w:cs="Helvetica"/>
          <w:sz w:val="22"/>
          <w:szCs w:val="22"/>
        </w:rPr>
        <w:t>made</w:t>
      </w:r>
      <w:r w:rsidR="00C07C09" w:rsidRPr="3A878784">
        <w:rPr>
          <w:rStyle w:val="eop"/>
          <w:rFonts w:ascii="Helvetica" w:eastAsia="Helvetica" w:hAnsi="Helvetica" w:cs="Helvetica"/>
          <w:sz w:val="22"/>
          <w:szCs w:val="22"/>
        </w:rPr>
        <w:t xml:space="preserve"> </w:t>
      </w:r>
      <w:r w:rsidR="3A878784" w:rsidRPr="3A878784">
        <w:rPr>
          <w:rStyle w:val="eop"/>
          <w:rFonts w:ascii="Helvetica" w:eastAsia="Helvetica" w:hAnsi="Helvetica" w:cs="Helvetica"/>
          <w:sz w:val="22"/>
          <w:szCs w:val="22"/>
        </w:rPr>
        <w:t xml:space="preserve">up 13 percent of the nation’s households, </w:t>
      </w:r>
      <w:r w:rsidR="00C07C09">
        <w:rPr>
          <w:rStyle w:val="eop"/>
          <w:rFonts w:ascii="Helvetica" w:eastAsia="Helvetica" w:hAnsi="Helvetica" w:cs="Helvetica"/>
          <w:sz w:val="22"/>
          <w:szCs w:val="22"/>
        </w:rPr>
        <w:t>while</w:t>
      </w:r>
      <w:r w:rsidR="3A878784" w:rsidRPr="3A878784">
        <w:rPr>
          <w:rStyle w:val="eop"/>
          <w:rFonts w:ascii="Helvetica" w:eastAsia="Helvetica" w:hAnsi="Helvetica" w:cs="Helvetica"/>
          <w:sz w:val="22"/>
          <w:szCs w:val="22"/>
        </w:rPr>
        <w:t xml:space="preserve"> </w:t>
      </w:r>
      <w:r w:rsidR="00A26BE7">
        <w:rPr>
          <w:rStyle w:val="eop"/>
          <w:rFonts w:ascii="Helvetica" w:eastAsia="Helvetica" w:hAnsi="Helvetica" w:cs="Helvetica"/>
          <w:sz w:val="22"/>
          <w:szCs w:val="22"/>
        </w:rPr>
        <w:t>they</w:t>
      </w:r>
      <w:r w:rsidR="3A878784" w:rsidRPr="3A878784">
        <w:rPr>
          <w:rStyle w:val="eop"/>
          <w:rFonts w:ascii="Helvetica" w:eastAsia="Helvetica" w:hAnsi="Helvetica" w:cs="Helvetica"/>
          <w:sz w:val="22"/>
          <w:szCs w:val="22"/>
        </w:rPr>
        <w:t xml:space="preserve"> </w:t>
      </w:r>
      <w:r w:rsidR="00C07C09">
        <w:rPr>
          <w:rStyle w:val="eop"/>
          <w:rFonts w:ascii="Helvetica" w:eastAsia="Helvetica" w:hAnsi="Helvetica" w:cs="Helvetica"/>
          <w:sz w:val="22"/>
          <w:szCs w:val="22"/>
        </w:rPr>
        <w:t>receiv</w:t>
      </w:r>
      <w:r w:rsidR="00A26BE7">
        <w:rPr>
          <w:rStyle w:val="eop"/>
          <w:rFonts w:ascii="Helvetica" w:eastAsia="Helvetica" w:hAnsi="Helvetica" w:cs="Helvetica"/>
          <w:sz w:val="22"/>
          <w:szCs w:val="22"/>
        </w:rPr>
        <w:t>ed</w:t>
      </w:r>
      <w:r w:rsidR="00C07C09">
        <w:rPr>
          <w:rStyle w:val="eop"/>
          <w:rFonts w:ascii="Helvetica" w:eastAsia="Helvetica" w:hAnsi="Helvetica" w:cs="Helvetica"/>
          <w:sz w:val="22"/>
          <w:szCs w:val="22"/>
        </w:rPr>
        <w:t xml:space="preserve"> </w:t>
      </w:r>
      <w:r w:rsidR="3A878784" w:rsidRPr="3A878784">
        <w:rPr>
          <w:rStyle w:val="eop"/>
          <w:rFonts w:ascii="Helvetica" w:eastAsia="Helvetica" w:hAnsi="Helvetica" w:cs="Helvetica"/>
          <w:sz w:val="22"/>
          <w:szCs w:val="22"/>
        </w:rPr>
        <w:t>six and seven percent respectively of the tax benefits from the mortgage interest deduction.</w:t>
      </w:r>
      <w:r w:rsidR="3A878784" w:rsidRPr="3A878784">
        <w:rPr>
          <w:rStyle w:val="FootnoteReference"/>
          <w:rFonts w:ascii="Helvetica" w:eastAsia="Helvetica" w:hAnsi="Helvetica" w:cs="Helvetica"/>
          <w:sz w:val="22"/>
          <w:szCs w:val="22"/>
        </w:rPr>
        <w:footnoteReference w:id="37"/>
      </w:r>
      <w:r w:rsidR="3A878784" w:rsidRPr="3A878784">
        <w:rPr>
          <w:rStyle w:val="eop"/>
          <w:rFonts w:ascii="Helvetica" w:eastAsia="Helvetica" w:hAnsi="Helvetica" w:cs="Helvetica"/>
          <w:sz w:val="22"/>
          <w:szCs w:val="22"/>
        </w:rPr>
        <w:t xml:space="preserve"> Consequently, the MID serves as </w:t>
      </w:r>
      <w:hyperlink r:id="rId22">
        <w:r w:rsidR="3A878784" w:rsidRPr="3A878784">
          <w:rPr>
            <w:rStyle w:val="Hyperlink"/>
            <w:rFonts w:ascii="Helvetica" w:eastAsia="Helvetica" w:hAnsi="Helvetica" w:cs="Helvetica"/>
            <w:sz w:val="22"/>
            <w:szCs w:val="22"/>
          </w:rPr>
          <w:t xml:space="preserve">one of </w:t>
        </w:r>
        <w:r w:rsidR="3A878784" w:rsidRPr="3A878784">
          <w:rPr>
            <w:rStyle w:val="Hyperlink"/>
            <w:rFonts w:ascii="Helvetica" w:eastAsia="Helvetica" w:hAnsi="Helvetica" w:cs="Helvetica"/>
            <w:sz w:val="22"/>
            <w:szCs w:val="22"/>
          </w:rPr>
          <w:lastRenderedPageBreak/>
          <w:t>many examples</w:t>
        </w:r>
      </w:hyperlink>
      <w:r w:rsidR="3A878784" w:rsidRPr="3A878784">
        <w:rPr>
          <w:rStyle w:val="eop"/>
          <w:rFonts w:ascii="Helvetica" w:eastAsia="Helvetica" w:hAnsi="Helvetica" w:cs="Helvetica"/>
          <w:sz w:val="22"/>
          <w:szCs w:val="22"/>
        </w:rPr>
        <w:t xml:space="preserve"> in which the tax code is structured in an ‘upside-down’ manner where those who have the least to gain benefit the most, while those with the least gain much less.</w:t>
      </w:r>
      <w:r w:rsidR="3A878784" w:rsidRPr="3A878784">
        <w:rPr>
          <w:rStyle w:val="FootnoteReference"/>
          <w:rFonts w:ascii="Helvetica" w:eastAsia="Helvetica" w:hAnsi="Helvetica" w:cs="Helvetica"/>
          <w:sz w:val="22"/>
          <w:szCs w:val="22"/>
        </w:rPr>
        <w:footnoteReference w:id="38"/>
      </w:r>
    </w:p>
    <w:p w14:paraId="72E4412E" w14:textId="1E71186C" w:rsidR="005A6959" w:rsidRDefault="00982453" w:rsidP="005A6959">
      <w:pPr>
        <w:pStyle w:val="Heading1"/>
        <w:spacing w:before="0"/>
        <w:rPr>
          <w:rFonts w:ascii="Helvetica" w:eastAsia="Helvetica" w:hAnsi="Helvetica" w:cs="Helvetica"/>
          <w:b/>
          <w:bCs/>
          <w:color w:val="C00000"/>
          <w:sz w:val="48"/>
          <w:szCs w:val="48"/>
        </w:rPr>
      </w:pPr>
      <w:r>
        <w:rPr>
          <w:rFonts w:ascii="Helvetica" w:eastAsia="Helvetica" w:hAnsi="Helvetica" w:cs="Helvetica"/>
          <w:b/>
          <w:bCs/>
          <w:color w:val="C00000"/>
          <w:sz w:val="48"/>
          <w:szCs w:val="48"/>
        </w:rPr>
        <w:t>How Wealth is Created Today</w:t>
      </w:r>
      <w:bookmarkStart w:id="7" w:name="_GoBack"/>
      <w:bookmarkEnd w:id="7"/>
    </w:p>
    <w:p w14:paraId="51290C90" w14:textId="4009C898" w:rsidR="005A6959" w:rsidRPr="00C546C8" w:rsidRDefault="005A6959" w:rsidP="00C546C8">
      <w:pPr>
        <w:rPr>
          <w:rStyle w:val="eop"/>
          <w:rFonts w:ascii="Arial" w:eastAsia="Arial" w:hAnsi="Arial" w:cs="Arial"/>
          <w:color w:val="C00000"/>
        </w:rPr>
      </w:pPr>
      <w:r w:rsidRPr="49C91CAC">
        <w:rPr>
          <w:rFonts w:ascii="Arial" w:hAnsi="Arial" w:cs="Arial"/>
          <w:color w:val="C00000"/>
        </w:rPr>
        <w:t>—</w:t>
      </w:r>
      <w:r w:rsidRPr="49C91CAC">
        <w:rPr>
          <w:rFonts w:ascii="Arial" w:eastAsia="Arial" w:hAnsi="Arial" w:cs="Arial"/>
          <w:color w:val="C00000"/>
        </w:rPr>
        <w:t>—————————————————————————————————————————</w:t>
      </w:r>
    </w:p>
    <w:p w14:paraId="2D8A71B4" w14:textId="5A38D3FA" w:rsidR="3A878784" w:rsidRPr="00C546C8" w:rsidRDefault="3A878784" w:rsidP="3A878784">
      <w:pPr>
        <w:pStyle w:val="paragraph"/>
        <w:spacing w:after="120" w:line="276" w:lineRule="auto"/>
        <w:rPr>
          <w:rStyle w:val="eop"/>
          <w:rFonts w:ascii="Arial" w:eastAsia="Helvetica" w:hAnsi="Arial" w:cs="Arial"/>
          <w:b/>
          <w:bCs/>
          <w:color w:val="C00000"/>
          <w:sz w:val="36"/>
          <w:szCs w:val="36"/>
        </w:rPr>
      </w:pPr>
      <w:r w:rsidRPr="00C546C8">
        <w:rPr>
          <w:rStyle w:val="eop"/>
          <w:rFonts w:ascii="Arial" w:eastAsia="Helvetica" w:hAnsi="Arial" w:cs="Arial"/>
          <w:b/>
          <w:bCs/>
          <w:color w:val="C00000"/>
          <w:sz w:val="36"/>
          <w:szCs w:val="36"/>
        </w:rPr>
        <w:t>The 2017 Tax Cuts and Jobs Act</w:t>
      </w:r>
    </w:p>
    <w:p w14:paraId="363F33C9" w14:textId="11BE32E8" w:rsidR="00780438" w:rsidRPr="0070505B" w:rsidRDefault="3A878784" w:rsidP="3A878784">
      <w:pPr>
        <w:pStyle w:val="paragraph"/>
        <w:spacing w:after="120" w:line="276" w:lineRule="auto"/>
        <w:rPr>
          <w:rFonts w:ascii="Helvetica" w:eastAsiaTheme="minorEastAsia" w:hAnsi="Helvetica" w:cs="Helvetica"/>
          <w:sz w:val="22"/>
          <w:szCs w:val="22"/>
        </w:rPr>
      </w:pPr>
      <w:r w:rsidRPr="3A878784">
        <w:rPr>
          <w:rStyle w:val="eop"/>
          <w:rFonts w:ascii="Helvetica" w:eastAsia="Helvetica" w:hAnsi="Helvetica" w:cs="Helvetica"/>
          <w:sz w:val="22"/>
          <w:szCs w:val="22"/>
        </w:rPr>
        <w:t xml:space="preserve">When done right, tax policy can empower all Americans to save, invest, and build wealth. Unfortunately, the </w:t>
      </w:r>
      <w:hyperlink r:id="rId23">
        <w:r w:rsidRPr="3A878784">
          <w:rPr>
            <w:rStyle w:val="Hyperlink"/>
            <w:rFonts w:ascii="Helvetica" w:eastAsia="Helvetica" w:hAnsi="Helvetica" w:cs="Helvetica"/>
            <w:sz w:val="22"/>
            <w:szCs w:val="22"/>
          </w:rPr>
          <w:t>Tax Cuts and Jobs Act</w:t>
        </w:r>
      </w:hyperlink>
      <w:r w:rsidRPr="3A878784">
        <w:rPr>
          <w:rStyle w:val="eop"/>
          <w:rFonts w:ascii="Helvetica" w:eastAsia="Helvetica" w:hAnsi="Helvetica" w:cs="Helvetica"/>
          <w:sz w:val="22"/>
          <w:szCs w:val="22"/>
        </w:rPr>
        <w:t xml:space="preserve"> (TCJA) passed by Congress in 2017 further </w:t>
      </w:r>
      <w:r w:rsidR="00FA57CF">
        <w:rPr>
          <w:rStyle w:val="eop"/>
          <w:rFonts w:ascii="Helvetica" w:eastAsia="Helvetica" w:hAnsi="Helvetica" w:cs="Helvetica"/>
          <w:sz w:val="22"/>
          <w:szCs w:val="22"/>
        </w:rPr>
        <w:t xml:space="preserve">exacerbated racial wealth inequality, </w:t>
      </w:r>
      <w:r w:rsidRPr="3A878784">
        <w:rPr>
          <w:rStyle w:val="eop"/>
          <w:rFonts w:ascii="Helvetica" w:eastAsia="Helvetica" w:hAnsi="Helvetica" w:cs="Helvetica"/>
          <w:sz w:val="22"/>
          <w:szCs w:val="22"/>
        </w:rPr>
        <w:t>perpetuate</w:t>
      </w:r>
      <w:r w:rsidR="00FA57CF">
        <w:rPr>
          <w:rStyle w:val="eop"/>
          <w:rFonts w:ascii="Helvetica" w:eastAsia="Helvetica" w:hAnsi="Helvetica" w:cs="Helvetica"/>
          <w:sz w:val="22"/>
          <w:szCs w:val="22"/>
        </w:rPr>
        <w:t>d</w:t>
      </w:r>
      <w:r w:rsidRPr="3A878784">
        <w:rPr>
          <w:rStyle w:val="eop"/>
          <w:rFonts w:ascii="Helvetica" w:eastAsia="Helvetica" w:hAnsi="Helvetica" w:cs="Helvetica"/>
          <w:sz w:val="22"/>
          <w:szCs w:val="22"/>
        </w:rPr>
        <w:t xml:space="preserve"> an inequitable, “upside-down” tax code, while also putting investments in anti-poverty policies at risk.</w:t>
      </w:r>
      <w:r w:rsidR="00D10BE8">
        <w:rPr>
          <w:rStyle w:val="FootnoteReference"/>
          <w:rFonts w:ascii="Helvetica" w:eastAsia="Helvetica" w:hAnsi="Helvetica" w:cs="Helvetica"/>
          <w:sz w:val="22"/>
          <w:szCs w:val="22"/>
        </w:rPr>
        <w:footnoteReference w:id="39"/>
      </w:r>
      <w:r w:rsidR="00A207EC">
        <w:rPr>
          <w:rStyle w:val="eop"/>
          <w:rFonts w:ascii="Helvetica" w:eastAsia="Helvetica" w:hAnsi="Helvetica" w:cs="Helvetica"/>
          <w:sz w:val="22"/>
          <w:szCs w:val="22"/>
          <w:vertAlign w:val="superscript"/>
        </w:rPr>
        <w:t>,</w:t>
      </w:r>
      <w:r w:rsidR="00A207EC">
        <w:rPr>
          <w:rStyle w:val="FootnoteReference"/>
          <w:rFonts w:ascii="Helvetica" w:eastAsia="Helvetica" w:hAnsi="Helvetica" w:cs="Helvetica"/>
          <w:sz w:val="22"/>
          <w:szCs w:val="22"/>
        </w:rPr>
        <w:footnoteReference w:id="40"/>
      </w:r>
      <w:r w:rsidR="001C3F29">
        <w:rPr>
          <w:rStyle w:val="eop"/>
          <w:rFonts w:ascii="Helvetica" w:eastAsia="Helvetica" w:hAnsi="Helvetica" w:cs="Helvetica"/>
          <w:sz w:val="22"/>
          <w:szCs w:val="22"/>
          <w:vertAlign w:val="superscript"/>
        </w:rPr>
        <w:t>&amp;</w:t>
      </w:r>
      <w:r w:rsidR="00A207EC">
        <w:rPr>
          <w:rStyle w:val="FootnoteReference"/>
          <w:rFonts w:ascii="Helvetica" w:eastAsia="Helvetica" w:hAnsi="Helvetica" w:cs="Helvetica"/>
          <w:sz w:val="22"/>
          <w:szCs w:val="22"/>
        </w:rPr>
        <w:footnoteReference w:id="41"/>
      </w:r>
      <w:r w:rsidR="007504AA">
        <w:rPr>
          <w:rStyle w:val="eop"/>
          <w:rFonts w:ascii="Helvetica" w:eastAsia="Helvetica" w:hAnsi="Helvetica" w:cs="Helvetica"/>
          <w:sz w:val="22"/>
          <w:szCs w:val="22"/>
        </w:rPr>
        <w:t xml:space="preserve"> </w:t>
      </w:r>
      <w:r w:rsidR="00692258">
        <w:rPr>
          <w:rStyle w:val="eop"/>
          <w:rFonts w:ascii="Helvetica" w:eastAsia="Helvetica" w:hAnsi="Helvetica" w:cs="Helvetica"/>
          <w:sz w:val="22"/>
          <w:szCs w:val="22"/>
        </w:rPr>
        <w:t xml:space="preserve"> </w:t>
      </w:r>
    </w:p>
    <w:p w14:paraId="71C4AB37" w14:textId="2563A91B" w:rsidR="00C9609C" w:rsidRDefault="3A878784" w:rsidP="52A2ACDF">
      <w:pPr>
        <w:pStyle w:val="paragraph"/>
        <w:spacing w:after="120" w:line="276" w:lineRule="auto"/>
        <w:rPr>
          <w:rStyle w:val="eop"/>
          <w:rFonts w:ascii="Helvetica" w:eastAsia="Helvetica" w:hAnsi="Helvetica" w:cs="Helvetica"/>
          <w:sz w:val="22"/>
          <w:szCs w:val="22"/>
        </w:rPr>
      </w:pPr>
      <w:r w:rsidRPr="3A878784">
        <w:rPr>
          <w:rFonts w:ascii="Helvetica" w:hAnsi="Helvetica" w:cs="Helvetica"/>
          <w:noProof/>
          <w:sz w:val="22"/>
          <w:szCs w:val="22"/>
        </w:rPr>
        <w:t>The TCJA</w:t>
      </w:r>
      <w:r w:rsidRPr="3A878784">
        <w:rPr>
          <w:rStyle w:val="eop"/>
          <w:rFonts w:ascii="Helvetica" w:eastAsia="Helvetica" w:hAnsi="Helvetica" w:cs="Helvetica"/>
          <w:sz w:val="22"/>
          <w:szCs w:val="22"/>
        </w:rPr>
        <w:t xml:space="preserve"> </w:t>
      </w:r>
      <w:r w:rsidR="00443A59">
        <w:rPr>
          <w:rStyle w:val="eop"/>
          <w:rFonts w:ascii="Helvetica" w:eastAsia="Helvetica" w:hAnsi="Helvetica" w:cs="Helvetica"/>
          <w:sz w:val="22"/>
          <w:szCs w:val="22"/>
        </w:rPr>
        <w:t>included</w:t>
      </w:r>
      <w:r w:rsidR="00443A59" w:rsidRPr="3A878784">
        <w:rPr>
          <w:rStyle w:val="eop"/>
          <w:rFonts w:ascii="Helvetica" w:eastAsia="Helvetica" w:hAnsi="Helvetica" w:cs="Helvetica"/>
          <w:sz w:val="22"/>
          <w:szCs w:val="22"/>
        </w:rPr>
        <w:t xml:space="preserve"> </w:t>
      </w:r>
      <w:r w:rsidRPr="3A878784">
        <w:rPr>
          <w:rStyle w:val="eop"/>
          <w:rFonts w:ascii="Helvetica" w:eastAsia="Helvetica" w:hAnsi="Helvetica" w:cs="Helvetica"/>
          <w:sz w:val="22"/>
          <w:szCs w:val="22"/>
        </w:rPr>
        <w:t>the largest one-time reduction in the corporate income tax rate in U.S. history, from 35 percent down to 21 percent.</w:t>
      </w:r>
      <w:r w:rsidRPr="3A878784">
        <w:rPr>
          <w:rStyle w:val="FootnoteReference"/>
          <w:rFonts w:ascii="Helvetica" w:eastAsia="Helvetica" w:hAnsi="Helvetica" w:cs="Helvetica"/>
          <w:sz w:val="22"/>
          <w:szCs w:val="22"/>
        </w:rPr>
        <w:footnoteReference w:id="42"/>
      </w:r>
      <w:r w:rsidRPr="3A878784">
        <w:rPr>
          <w:rStyle w:val="eop"/>
          <w:rFonts w:ascii="Helvetica" w:eastAsia="Helvetica" w:hAnsi="Helvetica" w:cs="Helvetica"/>
          <w:sz w:val="22"/>
          <w:szCs w:val="22"/>
        </w:rPr>
        <w:t xml:space="preserve"> </w:t>
      </w:r>
      <w:r w:rsidR="00DC422A">
        <w:rPr>
          <w:rStyle w:val="eop"/>
          <w:rFonts w:ascii="Helvetica" w:eastAsia="Helvetica" w:hAnsi="Helvetica" w:cs="Helvetica"/>
          <w:sz w:val="22"/>
          <w:szCs w:val="22"/>
        </w:rPr>
        <w:t xml:space="preserve">Yet, research from the </w:t>
      </w:r>
      <w:hyperlink r:id="rId24" w:history="1">
        <w:r w:rsidR="00DC422A" w:rsidRPr="004C5D19">
          <w:rPr>
            <w:rStyle w:val="Hyperlink"/>
            <w:rFonts w:ascii="Helvetica" w:eastAsia="Helvetica" w:hAnsi="Helvetica" w:cs="Helvetica"/>
            <w:sz w:val="22"/>
            <w:szCs w:val="22"/>
          </w:rPr>
          <w:t>Congressional Research Service</w:t>
        </w:r>
      </w:hyperlink>
      <w:r w:rsidR="00CC5B12">
        <w:rPr>
          <w:rStyle w:val="eop"/>
          <w:rFonts w:ascii="Helvetica" w:eastAsia="Helvetica" w:hAnsi="Helvetica" w:cs="Helvetica"/>
          <w:sz w:val="22"/>
          <w:szCs w:val="22"/>
        </w:rPr>
        <w:t xml:space="preserve"> (CRS)</w:t>
      </w:r>
      <w:r w:rsidR="00DC422A">
        <w:rPr>
          <w:rStyle w:val="eop"/>
          <w:rFonts w:ascii="Helvetica" w:eastAsia="Helvetica" w:hAnsi="Helvetica" w:cs="Helvetica"/>
          <w:sz w:val="22"/>
          <w:szCs w:val="22"/>
        </w:rPr>
        <w:t xml:space="preserve"> found that companies</w:t>
      </w:r>
      <w:r w:rsidR="00A77B8F">
        <w:rPr>
          <w:rStyle w:val="eop"/>
          <w:rFonts w:ascii="Helvetica" w:eastAsia="Helvetica" w:hAnsi="Helvetica" w:cs="Helvetica"/>
          <w:sz w:val="22"/>
          <w:szCs w:val="22"/>
        </w:rPr>
        <w:t>, on average, had a</w:t>
      </w:r>
      <w:r w:rsidR="006B0AE8">
        <w:rPr>
          <w:rStyle w:val="eop"/>
          <w:rFonts w:ascii="Helvetica" w:eastAsia="Helvetica" w:hAnsi="Helvetica" w:cs="Helvetica"/>
          <w:sz w:val="22"/>
          <w:szCs w:val="22"/>
        </w:rPr>
        <w:t xml:space="preserve"> lower than estimated </w:t>
      </w:r>
      <w:r w:rsidR="00A77B8F">
        <w:rPr>
          <w:rStyle w:val="eop"/>
          <w:rFonts w:ascii="Helvetica" w:eastAsia="Helvetica" w:hAnsi="Helvetica" w:cs="Helvetica"/>
          <w:sz w:val="22"/>
          <w:szCs w:val="22"/>
        </w:rPr>
        <w:t>average tax rate of 12.1 percent</w:t>
      </w:r>
      <w:r w:rsidR="00680321">
        <w:rPr>
          <w:rStyle w:val="eop"/>
          <w:rFonts w:ascii="Helvetica" w:eastAsia="Helvetica" w:hAnsi="Helvetica" w:cs="Helvetica"/>
          <w:sz w:val="22"/>
          <w:szCs w:val="22"/>
        </w:rPr>
        <w:t>.</w:t>
      </w:r>
      <w:r w:rsidR="00680321">
        <w:rPr>
          <w:rStyle w:val="FootnoteReference"/>
          <w:rFonts w:ascii="Helvetica" w:eastAsia="Helvetica" w:hAnsi="Helvetica" w:cs="Helvetica"/>
          <w:sz w:val="22"/>
          <w:szCs w:val="22"/>
        </w:rPr>
        <w:footnoteReference w:id="43"/>
      </w:r>
      <w:r w:rsidR="003C6643">
        <w:rPr>
          <w:rStyle w:val="eop"/>
          <w:rFonts w:ascii="Helvetica" w:eastAsia="Helvetica" w:hAnsi="Helvetica" w:cs="Helvetica"/>
          <w:sz w:val="22"/>
          <w:szCs w:val="22"/>
        </w:rPr>
        <w:t xml:space="preserve"> </w:t>
      </w:r>
      <w:r w:rsidR="00D8160F">
        <w:rPr>
          <w:rStyle w:val="eop"/>
          <w:rFonts w:ascii="Helvetica" w:eastAsia="Helvetica" w:hAnsi="Helvetica" w:cs="Helvetica"/>
          <w:sz w:val="22"/>
          <w:szCs w:val="22"/>
        </w:rPr>
        <w:t>While corporations saw massive windfalls from t</w:t>
      </w:r>
      <w:r w:rsidR="00B066AB">
        <w:rPr>
          <w:rStyle w:val="eop"/>
          <w:rFonts w:ascii="Helvetica" w:eastAsia="Helvetica" w:hAnsi="Helvetica" w:cs="Helvetica"/>
          <w:sz w:val="22"/>
          <w:szCs w:val="22"/>
        </w:rPr>
        <w:t>he TCJA,</w:t>
      </w:r>
      <w:r w:rsidR="00D8160F">
        <w:rPr>
          <w:rStyle w:val="eop"/>
          <w:rFonts w:ascii="Helvetica" w:eastAsia="Helvetica" w:hAnsi="Helvetica" w:cs="Helvetica"/>
          <w:sz w:val="22"/>
          <w:szCs w:val="22"/>
        </w:rPr>
        <w:t xml:space="preserve"> </w:t>
      </w:r>
      <w:r w:rsidR="00ED2CAB">
        <w:rPr>
          <w:rStyle w:val="eop"/>
          <w:rFonts w:ascii="Helvetica" w:eastAsia="Helvetica" w:hAnsi="Helvetica" w:cs="Helvetica"/>
          <w:sz w:val="22"/>
          <w:szCs w:val="22"/>
        </w:rPr>
        <w:t xml:space="preserve">most taxpayers </w:t>
      </w:r>
      <w:r w:rsidR="00E16F00">
        <w:rPr>
          <w:rStyle w:val="eop"/>
          <w:rFonts w:ascii="Helvetica" w:eastAsia="Helvetica" w:hAnsi="Helvetica" w:cs="Helvetica"/>
          <w:sz w:val="22"/>
          <w:szCs w:val="22"/>
        </w:rPr>
        <w:t>gained</w:t>
      </w:r>
      <w:r w:rsidR="00CC5B12">
        <w:rPr>
          <w:rStyle w:val="eop"/>
          <w:rFonts w:ascii="Helvetica" w:eastAsia="Helvetica" w:hAnsi="Helvetica" w:cs="Helvetica"/>
          <w:sz w:val="22"/>
          <w:szCs w:val="22"/>
        </w:rPr>
        <w:t xml:space="preserve"> little. The CRS noted that individua</w:t>
      </w:r>
      <w:r w:rsidR="00C73A0C">
        <w:rPr>
          <w:rStyle w:val="eop"/>
          <w:rFonts w:ascii="Helvetica" w:eastAsia="Helvetica" w:hAnsi="Helvetica" w:cs="Helvetica"/>
          <w:sz w:val="22"/>
          <w:szCs w:val="22"/>
        </w:rPr>
        <w:t>l income taxes fell from 9.6 to 9.2 percent</w:t>
      </w:r>
      <w:r w:rsidR="0094575A">
        <w:rPr>
          <w:rStyle w:val="eop"/>
          <w:rFonts w:ascii="Helvetica" w:eastAsia="Helvetica" w:hAnsi="Helvetica" w:cs="Helvetica"/>
          <w:sz w:val="22"/>
          <w:szCs w:val="22"/>
        </w:rPr>
        <w:t>, sharply contrasting the more than 20-point fall of corporate tax rates</w:t>
      </w:r>
      <w:r w:rsidR="00C73A0C">
        <w:rPr>
          <w:rStyle w:val="eop"/>
          <w:rFonts w:ascii="Helvetica" w:eastAsia="Helvetica" w:hAnsi="Helvetica" w:cs="Helvetica"/>
          <w:sz w:val="22"/>
          <w:szCs w:val="22"/>
        </w:rPr>
        <w:t>.</w:t>
      </w:r>
      <w:r w:rsidR="00D8160F">
        <w:rPr>
          <w:rStyle w:val="eop"/>
          <w:rFonts w:ascii="Helvetica" w:eastAsia="Helvetica" w:hAnsi="Helvetica" w:cs="Helvetica"/>
          <w:sz w:val="22"/>
          <w:szCs w:val="22"/>
        </w:rPr>
        <w:t xml:space="preserve"> </w:t>
      </w:r>
      <w:r w:rsidR="00E43B82">
        <w:rPr>
          <w:rStyle w:val="eop"/>
          <w:rFonts w:ascii="Helvetica" w:eastAsia="Helvetica" w:hAnsi="Helvetica" w:cs="Helvetica"/>
          <w:sz w:val="22"/>
          <w:szCs w:val="22"/>
        </w:rPr>
        <w:t xml:space="preserve">As illustrated in Figure </w:t>
      </w:r>
      <w:r w:rsidR="00C9609C">
        <w:rPr>
          <w:rStyle w:val="eop"/>
          <w:rFonts w:ascii="Helvetica" w:eastAsia="Helvetica" w:hAnsi="Helvetica" w:cs="Helvetica"/>
          <w:sz w:val="22"/>
          <w:szCs w:val="22"/>
        </w:rPr>
        <w:t>3</w:t>
      </w:r>
      <w:r w:rsidR="00E43B82">
        <w:rPr>
          <w:rStyle w:val="eop"/>
          <w:rFonts w:ascii="Helvetica" w:eastAsia="Helvetica" w:hAnsi="Helvetica" w:cs="Helvetica"/>
          <w:sz w:val="22"/>
          <w:szCs w:val="22"/>
        </w:rPr>
        <w:t xml:space="preserve">, </w:t>
      </w:r>
      <w:r w:rsidR="00124482">
        <w:rPr>
          <w:rStyle w:val="eop"/>
          <w:rFonts w:ascii="Helvetica" w:eastAsia="Helvetica" w:hAnsi="Helvetica" w:cs="Helvetica"/>
          <w:sz w:val="22"/>
          <w:szCs w:val="22"/>
        </w:rPr>
        <w:t xml:space="preserve">most of the individual tax breaks went to </w:t>
      </w:r>
      <w:r w:rsidRPr="3A878784">
        <w:rPr>
          <w:rStyle w:val="eop"/>
          <w:rFonts w:ascii="Helvetica" w:eastAsia="Helvetica" w:hAnsi="Helvetica" w:cs="Helvetica"/>
          <w:sz w:val="22"/>
          <w:szCs w:val="22"/>
        </w:rPr>
        <w:t>the wealth</w:t>
      </w:r>
      <w:r w:rsidR="00716752">
        <w:rPr>
          <w:rStyle w:val="eop"/>
          <w:rFonts w:ascii="Helvetica" w:eastAsia="Helvetica" w:hAnsi="Helvetica" w:cs="Helvetica"/>
          <w:sz w:val="22"/>
          <w:szCs w:val="22"/>
        </w:rPr>
        <w:t xml:space="preserve">y </w:t>
      </w:r>
      <w:r w:rsidRPr="3A878784">
        <w:rPr>
          <w:rStyle w:val="eop"/>
          <w:rFonts w:ascii="Helvetica" w:eastAsia="Helvetica" w:hAnsi="Helvetica" w:cs="Helvetica"/>
          <w:sz w:val="22"/>
          <w:szCs w:val="22"/>
        </w:rPr>
        <w:t>with incomes over $500,000</w:t>
      </w:r>
      <w:r w:rsidR="00AA26CB">
        <w:rPr>
          <w:rStyle w:val="eop"/>
          <w:rFonts w:ascii="Helvetica" w:eastAsia="Helvetica" w:hAnsi="Helvetica" w:cs="Helvetica"/>
          <w:sz w:val="22"/>
          <w:szCs w:val="22"/>
        </w:rPr>
        <w:t xml:space="preserve">. </w:t>
      </w:r>
      <w:r w:rsidRPr="3A878784">
        <w:rPr>
          <w:rStyle w:val="eop"/>
          <w:rFonts w:ascii="Helvetica" w:eastAsia="Helvetica" w:hAnsi="Helvetica" w:cs="Helvetica"/>
          <w:sz w:val="22"/>
          <w:szCs w:val="22"/>
        </w:rPr>
        <w:t xml:space="preserve"> </w:t>
      </w:r>
      <w:r w:rsidR="001D2DA4">
        <w:rPr>
          <w:rStyle w:val="eop"/>
          <w:rFonts w:ascii="Helvetica" w:eastAsia="Helvetica" w:hAnsi="Helvetica" w:cs="Helvetica"/>
          <w:sz w:val="22"/>
          <w:szCs w:val="22"/>
        </w:rPr>
        <w:t xml:space="preserve">The tax code did also </w:t>
      </w:r>
      <w:r w:rsidRPr="3A878784">
        <w:rPr>
          <w:rStyle w:val="eop"/>
          <w:rFonts w:ascii="Helvetica" w:eastAsia="Helvetica" w:hAnsi="Helvetica" w:cs="Helvetica"/>
          <w:sz w:val="22"/>
          <w:szCs w:val="22"/>
        </w:rPr>
        <w:t>limit deductions to $10,000 in state and local property taxes</w:t>
      </w:r>
      <w:r w:rsidR="00681846">
        <w:rPr>
          <w:rStyle w:val="eop"/>
          <w:rFonts w:ascii="Helvetica" w:eastAsia="Helvetica" w:hAnsi="Helvetica" w:cs="Helvetica"/>
          <w:sz w:val="22"/>
          <w:szCs w:val="22"/>
        </w:rPr>
        <w:t xml:space="preserve"> (SALT)</w:t>
      </w:r>
      <w:r w:rsidRPr="3A878784">
        <w:rPr>
          <w:rStyle w:val="eop"/>
          <w:rFonts w:ascii="Helvetica" w:eastAsia="Helvetica" w:hAnsi="Helvetica" w:cs="Helvetica"/>
          <w:sz w:val="22"/>
          <w:szCs w:val="22"/>
        </w:rPr>
        <w:t>.</w:t>
      </w:r>
      <w:r w:rsidR="00C96361">
        <w:rPr>
          <w:rStyle w:val="eop"/>
          <w:rFonts w:ascii="Helvetica" w:eastAsia="Helvetica" w:hAnsi="Helvetica" w:cs="Helvetica"/>
          <w:sz w:val="22"/>
          <w:szCs w:val="22"/>
        </w:rPr>
        <w:t xml:space="preserve"> SALT deductions</w:t>
      </w:r>
      <w:r w:rsidR="00E5553C">
        <w:rPr>
          <w:rStyle w:val="eop"/>
          <w:rFonts w:ascii="Helvetica" w:eastAsia="Helvetica" w:hAnsi="Helvetica" w:cs="Helvetica"/>
          <w:sz w:val="22"/>
          <w:szCs w:val="22"/>
        </w:rPr>
        <w:t xml:space="preserve"> </w:t>
      </w:r>
      <w:r w:rsidR="00C96361">
        <w:rPr>
          <w:rStyle w:val="eop"/>
          <w:rFonts w:ascii="Helvetica" w:eastAsia="Helvetica" w:hAnsi="Helvetica" w:cs="Helvetica"/>
          <w:sz w:val="22"/>
          <w:szCs w:val="22"/>
        </w:rPr>
        <w:t xml:space="preserve">allow taxpayers to deduct </w:t>
      </w:r>
      <w:r w:rsidR="00BF4FD3">
        <w:rPr>
          <w:rStyle w:val="eop"/>
          <w:rFonts w:ascii="Helvetica" w:eastAsia="Helvetica" w:hAnsi="Helvetica" w:cs="Helvetica"/>
          <w:sz w:val="22"/>
          <w:szCs w:val="22"/>
        </w:rPr>
        <w:t xml:space="preserve">state and local </w:t>
      </w:r>
      <w:r w:rsidR="005105B5">
        <w:rPr>
          <w:rStyle w:val="eop"/>
          <w:rFonts w:ascii="Helvetica" w:eastAsia="Helvetica" w:hAnsi="Helvetica" w:cs="Helvetica"/>
          <w:sz w:val="22"/>
          <w:szCs w:val="22"/>
        </w:rPr>
        <w:t xml:space="preserve">real estate and personal </w:t>
      </w:r>
      <w:r w:rsidR="008C5539">
        <w:rPr>
          <w:rStyle w:val="eop"/>
          <w:rFonts w:ascii="Helvetica" w:eastAsia="Helvetica" w:hAnsi="Helvetica" w:cs="Helvetica"/>
          <w:sz w:val="22"/>
          <w:szCs w:val="22"/>
        </w:rPr>
        <w:t xml:space="preserve">property taxes, as well as either income taxes or sales tax from </w:t>
      </w:r>
      <w:r w:rsidR="00E5553C">
        <w:rPr>
          <w:rStyle w:val="eop"/>
          <w:rFonts w:ascii="Helvetica" w:eastAsia="Helvetica" w:hAnsi="Helvetica" w:cs="Helvetica"/>
          <w:sz w:val="22"/>
          <w:szCs w:val="22"/>
        </w:rPr>
        <w:t>their federal income taxes. SALT taxes have historically benefited higher-income households but the TCJA provision limited these deductions</w:t>
      </w:r>
      <w:r w:rsidR="00E85B4D">
        <w:rPr>
          <w:rStyle w:val="eop"/>
          <w:rFonts w:ascii="Helvetica" w:eastAsia="Helvetica" w:hAnsi="Helvetica" w:cs="Helvetica"/>
          <w:sz w:val="22"/>
          <w:szCs w:val="22"/>
        </w:rPr>
        <w:t>, making it a more progressive tax policy change.</w:t>
      </w:r>
      <w:r w:rsidR="00E85B4D">
        <w:rPr>
          <w:rStyle w:val="FootnoteReference"/>
          <w:rFonts w:ascii="Helvetica" w:eastAsia="Helvetica" w:hAnsi="Helvetica" w:cs="Helvetica"/>
          <w:sz w:val="22"/>
          <w:szCs w:val="22"/>
        </w:rPr>
        <w:footnoteReference w:id="44"/>
      </w:r>
      <w:r w:rsidR="00E5553C">
        <w:rPr>
          <w:rStyle w:val="eop"/>
          <w:rFonts w:ascii="Helvetica" w:eastAsia="Helvetica" w:hAnsi="Helvetica" w:cs="Helvetica"/>
          <w:sz w:val="22"/>
          <w:szCs w:val="22"/>
        </w:rPr>
        <w:t xml:space="preserve">  </w:t>
      </w:r>
    </w:p>
    <w:p w14:paraId="69F3657D" w14:textId="08CCE28B" w:rsidR="00C9609C" w:rsidRDefault="00C9609C" w:rsidP="52A2ACDF">
      <w:pPr>
        <w:pStyle w:val="paragraph"/>
        <w:spacing w:after="120" w:line="276" w:lineRule="auto"/>
        <w:rPr>
          <w:rStyle w:val="eop"/>
          <w:rFonts w:ascii="Helvetica" w:eastAsia="Helvetica" w:hAnsi="Helvetica" w:cs="Helvetica"/>
          <w:sz w:val="22"/>
          <w:szCs w:val="22"/>
        </w:rPr>
      </w:pPr>
      <w:r w:rsidRPr="00071703">
        <w:rPr>
          <w:rStyle w:val="eop"/>
          <w:rFonts w:ascii="Helvetica" w:eastAsia="Helvetica" w:hAnsi="Helvetica" w:cs="Helvetica"/>
          <w:noProof/>
          <w:sz w:val="22"/>
          <w:szCs w:val="22"/>
        </w:rPr>
        <w:lastRenderedPageBreak/>
        <mc:AlternateContent>
          <mc:Choice Requires="wps">
            <w:drawing>
              <wp:anchor distT="45720" distB="45720" distL="114300" distR="114300" simplePos="0" relativeHeight="251657216" behindDoc="0" locked="0" layoutInCell="1" allowOverlap="1" wp14:anchorId="41F4DFDF" wp14:editId="3DED2186">
                <wp:simplePos x="0" y="0"/>
                <wp:positionH relativeFrom="margin">
                  <wp:align>left</wp:align>
                </wp:positionH>
                <wp:positionV relativeFrom="paragraph">
                  <wp:posOffset>3670935</wp:posOffset>
                </wp:positionV>
                <wp:extent cx="5629275" cy="2667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66700"/>
                        </a:xfrm>
                        <a:prstGeom prst="rect">
                          <a:avLst/>
                        </a:prstGeom>
                        <a:solidFill>
                          <a:srgbClr val="FFFFFF"/>
                        </a:solidFill>
                        <a:ln w="9525">
                          <a:noFill/>
                          <a:miter lim="800000"/>
                          <a:headEnd/>
                          <a:tailEnd/>
                        </a:ln>
                      </wps:spPr>
                      <wps:txbx>
                        <w:txbxContent>
                          <w:p w14:paraId="0636D3DA" w14:textId="18224377" w:rsidR="00071703" w:rsidRPr="00F87A70" w:rsidRDefault="00071703" w:rsidP="00BA5CA6">
                            <w:pPr>
                              <w:jc w:val="center"/>
                              <w:rPr>
                                <w:rFonts w:ascii="Helvetica" w:hAnsi="Helvetica" w:cs="Helvetica"/>
                                <w:color w:val="7F7F7F" w:themeColor="text1" w:themeTint="80"/>
                                <w:vertAlign w:val="superscript"/>
                              </w:rPr>
                            </w:pPr>
                            <w:r w:rsidRPr="00BA5CA6">
                              <w:rPr>
                                <w:rFonts w:ascii="Helvetica" w:hAnsi="Helvetica" w:cs="Helvetica"/>
                                <w:color w:val="7F7F7F" w:themeColor="text1" w:themeTint="80"/>
                              </w:rPr>
                              <w:t>Figure</w:t>
                            </w:r>
                            <w:r w:rsidR="00BD6886">
                              <w:rPr>
                                <w:rFonts w:ascii="Helvetica" w:hAnsi="Helvetica" w:cs="Helvetica"/>
                                <w:color w:val="7F7F7F" w:themeColor="text1" w:themeTint="80"/>
                              </w:rPr>
                              <w:t xml:space="preserve"> </w:t>
                            </w:r>
                            <w:r w:rsidR="000F1DA3">
                              <w:rPr>
                                <w:rFonts w:ascii="Helvetica" w:hAnsi="Helvetica" w:cs="Helvetica"/>
                                <w:color w:val="7F7F7F" w:themeColor="text1" w:themeTint="80"/>
                              </w:rPr>
                              <w:t>3</w:t>
                            </w:r>
                            <w:r w:rsidR="009D6604">
                              <w:rPr>
                                <w:rFonts w:ascii="Helvetica" w:hAnsi="Helvetica" w:cs="Helvetica"/>
                                <w:color w:val="7F7F7F" w:themeColor="text1" w:themeTint="80"/>
                                <w:vertAlign w:val="superscript"/>
                              </w:rPr>
                              <w:t>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4DFDF" id="_x0000_s1027" type="#_x0000_t202" style="position:absolute;margin-left:0;margin-top:289.05pt;width:443.25pt;height:21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" stroked="f">
                <v:textbox>
                  <w:txbxContent>
                    <w:p w14:paraId="0636D3DA" w14:textId="18224377" w:rsidR="00071703" w:rsidRPr="00F87A70" w:rsidRDefault="00071703" w:rsidP="00BA5CA6">
                      <w:pPr>
                        <w:jc w:val="center"/>
                        <w:rPr>
                          <w:rFonts w:ascii="Helvetica" w:hAnsi="Helvetica" w:cs="Helvetica"/>
                          <w:color w:val="7F7F7F" w:themeColor="text1" w:themeTint="80"/>
                          <w:vertAlign w:val="superscript"/>
                        </w:rPr>
                      </w:pPr>
                      <w:r w:rsidRPr="00BA5CA6">
                        <w:rPr>
                          <w:rFonts w:ascii="Helvetica" w:hAnsi="Helvetica" w:cs="Helvetica"/>
                          <w:color w:val="7F7F7F" w:themeColor="text1" w:themeTint="80"/>
                        </w:rPr>
                        <w:t>Figure</w:t>
                      </w:r>
                      <w:r w:rsidR="00BD6886">
                        <w:rPr>
                          <w:rFonts w:ascii="Helvetica" w:hAnsi="Helvetica" w:cs="Helvetica"/>
                          <w:color w:val="7F7F7F" w:themeColor="text1" w:themeTint="80"/>
                        </w:rPr>
                        <w:t xml:space="preserve"> </w:t>
                      </w:r>
                      <w:r w:rsidR="000F1DA3">
                        <w:rPr>
                          <w:rFonts w:ascii="Helvetica" w:hAnsi="Helvetica" w:cs="Helvetica"/>
                          <w:color w:val="7F7F7F" w:themeColor="text1" w:themeTint="80"/>
                        </w:rPr>
                        <w:t>3</w:t>
                      </w:r>
                      <w:r w:rsidR="009D6604">
                        <w:rPr>
                          <w:rFonts w:ascii="Helvetica" w:hAnsi="Helvetica" w:cs="Helvetica"/>
                          <w:color w:val="7F7F7F" w:themeColor="text1" w:themeTint="80"/>
                          <w:vertAlign w:val="superscript"/>
                        </w:rPr>
                        <w:t>44</w:t>
                      </w:r>
                    </w:p>
                  </w:txbxContent>
                </v:textbox>
                <w10:wrap type="square" anchorx="margin"/>
              </v:shape>
            </w:pict>
          </mc:Fallback>
        </mc:AlternateContent>
      </w:r>
      <w:r>
        <w:rPr>
          <w:rFonts w:ascii="Helvetica" w:eastAsia="Helvetica" w:hAnsi="Helvetica" w:cs="Helvetica"/>
          <w:noProof/>
          <w:sz w:val="22"/>
          <w:szCs w:val="22"/>
        </w:rPr>
        <w:drawing>
          <wp:inline distT="0" distB="0" distL="0" distR="0" wp14:anchorId="4DB95C1D" wp14:editId="26895FDD">
            <wp:extent cx="5596259" cy="3558315"/>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JA by incom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596259" cy="3558315"/>
                    </a:xfrm>
                    <a:prstGeom prst="rect">
                      <a:avLst/>
                    </a:prstGeom>
                  </pic:spPr>
                </pic:pic>
              </a:graphicData>
            </a:graphic>
          </wp:inline>
        </w:drawing>
      </w:r>
    </w:p>
    <w:p w14:paraId="71D72882" w14:textId="77777777" w:rsidR="008510CE" w:rsidRDefault="008510CE" w:rsidP="52A2ACDF">
      <w:pPr>
        <w:pStyle w:val="paragraph"/>
        <w:spacing w:after="120" w:line="276" w:lineRule="auto"/>
        <w:rPr>
          <w:rStyle w:val="eop"/>
          <w:rFonts w:ascii="Helvetica" w:eastAsia="Helvetica" w:hAnsi="Helvetica" w:cs="Helvetica"/>
          <w:sz w:val="22"/>
          <w:szCs w:val="22"/>
        </w:rPr>
      </w:pPr>
    </w:p>
    <w:p w14:paraId="325329D6" w14:textId="5C2787CB" w:rsidR="3A878784" w:rsidRDefault="3A878784" w:rsidP="52A2ACDF">
      <w:pPr>
        <w:pStyle w:val="paragraph"/>
        <w:spacing w:after="120" w:line="276" w:lineRule="auto"/>
        <w:rPr>
          <w:rStyle w:val="eop"/>
          <w:rFonts w:ascii="Helvetica" w:eastAsia="Helvetica" w:hAnsi="Helvetica" w:cs="Helvetica"/>
          <w:sz w:val="22"/>
          <w:szCs w:val="22"/>
        </w:rPr>
      </w:pPr>
      <w:r w:rsidRPr="3A878784">
        <w:rPr>
          <w:rStyle w:val="eop"/>
          <w:rFonts w:ascii="Helvetica" w:eastAsia="Helvetica" w:hAnsi="Helvetica" w:cs="Helvetica"/>
          <w:sz w:val="22"/>
          <w:szCs w:val="22"/>
        </w:rPr>
        <w:t>In addition, the individual health insurance mandate under the Affordable Care Act w</w:t>
      </w:r>
      <w:r w:rsidR="000B0E71">
        <w:rPr>
          <w:rStyle w:val="eop"/>
          <w:rFonts w:ascii="Helvetica" w:eastAsia="Helvetica" w:hAnsi="Helvetica" w:cs="Helvetica"/>
          <w:sz w:val="22"/>
          <w:szCs w:val="22"/>
        </w:rPr>
        <w:t>as eliminated this year</w:t>
      </w:r>
      <w:r w:rsidRPr="3A878784">
        <w:rPr>
          <w:rStyle w:val="eop"/>
          <w:rFonts w:ascii="Helvetica" w:eastAsia="Helvetica" w:hAnsi="Helvetica" w:cs="Helvetica"/>
          <w:sz w:val="22"/>
          <w:szCs w:val="22"/>
        </w:rPr>
        <w:t>, potentially forcing health insurance premium increases for millions of Americans. The bill will include short term tax savings for most Americans, but those savings will be eliminated by 2026</w:t>
      </w:r>
      <w:r w:rsidR="00F347E9">
        <w:rPr>
          <w:rStyle w:val="eop"/>
          <w:rFonts w:ascii="Helvetica" w:eastAsia="Helvetica" w:hAnsi="Helvetica" w:cs="Helvetica"/>
          <w:sz w:val="22"/>
          <w:szCs w:val="22"/>
        </w:rPr>
        <w:t xml:space="preserve"> </w:t>
      </w:r>
      <w:r w:rsidR="006835ED">
        <w:rPr>
          <w:rStyle w:val="eop"/>
          <w:rFonts w:ascii="Helvetica" w:eastAsia="Helvetica" w:hAnsi="Helvetica" w:cs="Helvetica"/>
          <w:sz w:val="22"/>
          <w:szCs w:val="22"/>
        </w:rPr>
        <w:t>as most of the individual tax provisions expire</w:t>
      </w:r>
      <w:r w:rsidRPr="3A878784">
        <w:rPr>
          <w:rStyle w:val="eop"/>
          <w:rFonts w:ascii="Helvetica" w:eastAsia="Helvetica" w:hAnsi="Helvetica" w:cs="Helvetica"/>
          <w:sz w:val="22"/>
          <w:szCs w:val="22"/>
        </w:rPr>
        <w:t>.</w:t>
      </w:r>
      <w:r w:rsidR="00C83804">
        <w:rPr>
          <w:rStyle w:val="FootnoteReference"/>
          <w:rFonts w:ascii="Helvetica" w:eastAsia="Helvetica" w:hAnsi="Helvetica" w:cs="Helvetica"/>
          <w:sz w:val="22"/>
          <w:szCs w:val="22"/>
        </w:rPr>
        <w:footnoteReference w:id="45"/>
      </w:r>
      <w:r w:rsidRPr="3A878784">
        <w:rPr>
          <w:rStyle w:val="eop"/>
          <w:rFonts w:ascii="Helvetica" w:eastAsia="Helvetica" w:hAnsi="Helvetica" w:cs="Helvetica"/>
          <w:sz w:val="22"/>
          <w:szCs w:val="22"/>
        </w:rPr>
        <w:t xml:space="preserve"> Currently, only the corporate tax cuts are made permanent. </w:t>
      </w:r>
    </w:p>
    <w:p w14:paraId="24B72B7F" w14:textId="7B5B32AB" w:rsidR="00565CB5" w:rsidRDefault="00565CB5" w:rsidP="3A878784">
      <w:pPr>
        <w:pStyle w:val="paragraph"/>
        <w:spacing w:after="120" w:line="276" w:lineRule="auto"/>
        <w:rPr>
          <w:rStyle w:val="eop"/>
          <w:rFonts w:ascii="Helvetica" w:eastAsia="Helvetica" w:hAnsi="Helvetica" w:cs="Helvetica"/>
          <w:sz w:val="22"/>
          <w:szCs w:val="22"/>
        </w:rPr>
      </w:pPr>
    </w:p>
    <w:p w14:paraId="5394B5D0" w14:textId="1D231218" w:rsidR="00565CB5" w:rsidRDefault="00565CB5" w:rsidP="3A878784">
      <w:pPr>
        <w:pStyle w:val="paragraph"/>
        <w:spacing w:after="120" w:line="276" w:lineRule="auto"/>
        <w:rPr>
          <w:rStyle w:val="eop"/>
          <w:rFonts w:ascii="Helvetica" w:eastAsia="Helvetica" w:hAnsi="Helvetica" w:cs="Helvetica"/>
          <w:sz w:val="22"/>
          <w:szCs w:val="22"/>
        </w:rPr>
      </w:pPr>
    </w:p>
    <w:p w14:paraId="420EE5C3" w14:textId="561F6B44" w:rsidR="3A878784" w:rsidRDefault="007E6FE6" w:rsidP="00C546C8">
      <w:pPr>
        <w:pStyle w:val="paragraph"/>
        <w:spacing w:after="120" w:line="276" w:lineRule="auto"/>
        <w:rPr>
          <w:rStyle w:val="eop"/>
          <w:rFonts w:ascii="Helvetica" w:eastAsia="Helvetica" w:hAnsi="Helvetica" w:cs="Helvetica"/>
          <w:sz w:val="22"/>
          <w:szCs w:val="22"/>
        </w:rPr>
      </w:pPr>
      <w:r w:rsidRPr="00F87A70">
        <w:rPr>
          <w:rStyle w:val="eop"/>
          <w:rFonts w:ascii="Helvetica" w:eastAsia="Helvetica" w:hAnsi="Helvetica" w:cs="Helvetica"/>
          <w:noProof/>
        </w:rPr>
        <w:lastRenderedPageBreak/>
        <mc:AlternateContent>
          <mc:Choice Requires="wps">
            <w:drawing>
              <wp:anchor distT="45720" distB="45720" distL="114300" distR="114300" simplePos="0" relativeHeight="251661312" behindDoc="0" locked="0" layoutInCell="1" allowOverlap="1" wp14:anchorId="2D34B635" wp14:editId="0EB294D2">
                <wp:simplePos x="0" y="0"/>
                <wp:positionH relativeFrom="margin">
                  <wp:posOffset>57150</wp:posOffset>
                </wp:positionH>
                <wp:positionV relativeFrom="paragraph">
                  <wp:posOffset>3043555</wp:posOffset>
                </wp:positionV>
                <wp:extent cx="3590925" cy="2762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76225"/>
                        </a:xfrm>
                        <a:prstGeom prst="rect">
                          <a:avLst/>
                        </a:prstGeom>
                        <a:solidFill>
                          <a:srgbClr val="FFFFFF"/>
                        </a:solidFill>
                        <a:ln w="9525">
                          <a:noFill/>
                          <a:miter lim="800000"/>
                          <a:headEnd/>
                          <a:tailEnd/>
                        </a:ln>
                      </wps:spPr>
                      <wps:txbx>
                        <w:txbxContent>
                          <w:p w14:paraId="17E72F6C" w14:textId="04D7D0C4" w:rsidR="00F87A70" w:rsidRPr="00310CF6" w:rsidRDefault="00F87A70" w:rsidP="00310CF6">
                            <w:pPr>
                              <w:jc w:val="center"/>
                              <w:rPr>
                                <w:rFonts w:ascii="Helvetica" w:hAnsi="Helvetica" w:cs="Helvetica"/>
                                <w:color w:val="7F7F7F" w:themeColor="text1" w:themeTint="80"/>
                                <w:vertAlign w:val="superscript"/>
                              </w:rPr>
                            </w:pPr>
                            <w:r w:rsidRPr="00310CF6">
                              <w:rPr>
                                <w:rFonts w:ascii="Helvetica" w:hAnsi="Helvetica" w:cs="Helvetica"/>
                                <w:color w:val="7F7F7F" w:themeColor="text1" w:themeTint="80"/>
                              </w:rPr>
                              <w:t xml:space="preserve">Figure </w:t>
                            </w:r>
                            <w:r w:rsidR="00150A09">
                              <w:rPr>
                                <w:rFonts w:ascii="Helvetica" w:hAnsi="Helvetica" w:cs="Helvetica"/>
                                <w:color w:val="7F7F7F" w:themeColor="text1" w:themeTint="80"/>
                              </w:rPr>
                              <w:t>4</w:t>
                            </w:r>
                            <w:r w:rsidR="003B2A78">
                              <w:rPr>
                                <w:rFonts w:ascii="Helvetica" w:hAnsi="Helvetica" w:cs="Helvetica"/>
                                <w:color w:val="7F7F7F" w:themeColor="text1" w:themeTint="80"/>
                                <w:vertAlign w:val="superscript"/>
                              </w:rPr>
                              <w:t>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4B635" id="_x0000_s1028" type="#_x0000_t202" style="position:absolute;margin-left:4.5pt;margin-top:239.65pt;width:282.75pt;height:2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" stroked="f">
                <v:textbox>
                  <w:txbxContent>
                    <w:p w14:paraId="17E72F6C" w14:textId="04D7D0C4" w:rsidR="00F87A70" w:rsidRPr="00310CF6" w:rsidRDefault="00F87A70" w:rsidP="00310CF6">
                      <w:pPr>
                        <w:jc w:val="center"/>
                        <w:rPr>
                          <w:rFonts w:ascii="Helvetica" w:hAnsi="Helvetica" w:cs="Helvetica"/>
                          <w:color w:val="7F7F7F" w:themeColor="text1" w:themeTint="80"/>
                          <w:vertAlign w:val="superscript"/>
                        </w:rPr>
                      </w:pPr>
                      <w:r w:rsidRPr="00310CF6">
                        <w:rPr>
                          <w:rFonts w:ascii="Helvetica" w:hAnsi="Helvetica" w:cs="Helvetica"/>
                          <w:color w:val="7F7F7F" w:themeColor="text1" w:themeTint="80"/>
                        </w:rPr>
                        <w:t xml:space="preserve">Figure </w:t>
                      </w:r>
                      <w:r w:rsidR="00150A09">
                        <w:rPr>
                          <w:rFonts w:ascii="Helvetica" w:hAnsi="Helvetica" w:cs="Helvetica"/>
                          <w:color w:val="7F7F7F" w:themeColor="text1" w:themeTint="80"/>
                        </w:rPr>
                        <w:t>4</w:t>
                      </w:r>
                      <w:r w:rsidR="003B2A78">
                        <w:rPr>
                          <w:rFonts w:ascii="Helvetica" w:hAnsi="Helvetica" w:cs="Helvetica"/>
                          <w:color w:val="7F7F7F" w:themeColor="text1" w:themeTint="80"/>
                          <w:vertAlign w:val="superscript"/>
                        </w:rPr>
                        <w:t>45</w:t>
                      </w:r>
                    </w:p>
                  </w:txbxContent>
                </v:textbox>
                <w10:wrap type="square" anchorx="margin"/>
              </v:shape>
            </w:pict>
          </mc:Fallback>
        </mc:AlternateContent>
      </w:r>
      <w:r>
        <w:rPr>
          <w:noProof/>
        </w:rPr>
        <w:drawing>
          <wp:anchor distT="0" distB="0" distL="114300" distR="114300" simplePos="0" relativeHeight="251662336" behindDoc="0" locked="0" layoutInCell="1" allowOverlap="1" wp14:anchorId="116B62A2" wp14:editId="6BD19221">
            <wp:simplePos x="0" y="0"/>
            <wp:positionH relativeFrom="margin">
              <wp:align>left</wp:align>
            </wp:positionH>
            <wp:positionV relativeFrom="paragraph">
              <wp:posOffset>143510</wp:posOffset>
            </wp:positionV>
            <wp:extent cx="3488055" cy="2876550"/>
            <wp:effectExtent l="57150" t="57150" r="112395" b="114300"/>
            <wp:wrapSquare wrapText="bothSides"/>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6">
                      <a:extLst>
                        <a:ext uri="{28A0092B-C50C-407E-A947-70E740481C1C}">
                          <a14:useLocalDpi xmlns:a14="http://schemas.microsoft.com/office/drawing/2010/main" val="0"/>
                        </a:ext>
                      </a:extLst>
                    </a:blip>
                    <a:stretch>
                      <a:fillRect/>
                    </a:stretch>
                  </pic:blipFill>
                  <pic:spPr>
                    <a:xfrm>
                      <a:off x="0" y="0"/>
                      <a:ext cx="3488055" cy="287655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3A878784" w:rsidRPr="3A878784">
        <w:rPr>
          <w:rStyle w:val="eop"/>
          <w:rFonts w:ascii="Helvetica" w:eastAsia="Helvetica" w:hAnsi="Helvetica" w:cs="Helvetica"/>
          <w:sz w:val="22"/>
          <w:szCs w:val="22"/>
        </w:rPr>
        <w:t>For many years, RESULTS has advocated for increases to the Earned Income Tax Credit (EITC) and Child Tax Credit (CTC), whose benefits are targeted to low-income households.</w:t>
      </w:r>
      <w:r w:rsidRPr="007E6FE6">
        <w:rPr>
          <w:noProof/>
        </w:rPr>
        <w:t xml:space="preserve"> </w:t>
      </w:r>
      <w:r w:rsidR="3A878784" w:rsidRPr="3A878784">
        <w:rPr>
          <w:rStyle w:val="eop"/>
          <w:rFonts w:ascii="Helvetica" w:eastAsia="Helvetica" w:hAnsi="Helvetica" w:cs="Helvetica"/>
          <w:sz w:val="22"/>
          <w:szCs w:val="22"/>
        </w:rPr>
        <w:t xml:space="preserve"> In the TCJA, the Child Tax Credit was increased but the benefits largely go to high-income households (See Figure </w:t>
      </w:r>
      <w:r w:rsidR="000F1DA3">
        <w:rPr>
          <w:rStyle w:val="eop"/>
          <w:rFonts w:ascii="Helvetica" w:eastAsia="Helvetica" w:hAnsi="Helvetica" w:cs="Helvetica"/>
          <w:sz w:val="22"/>
          <w:szCs w:val="22"/>
        </w:rPr>
        <w:t>4</w:t>
      </w:r>
      <w:r w:rsidR="3A878784" w:rsidRPr="3A878784">
        <w:rPr>
          <w:rStyle w:val="eop"/>
          <w:rFonts w:ascii="Helvetica" w:eastAsia="Helvetica" w:hAnsi="Helvetica" w:cs="Helvetica"/>
          <w:sz w:val="22"/>
          <w:szCs w:val="22"/>
        </w:rPr>
        <w:t xml:space="preserve">). The credit was doubled to $2,000 per child, but only wealthier families will be able to </w:t>
      </w:r>
      <w:r w:rsidR="00B16C19">
        <w:rPr>
          <w:rStyle w:val="eop"/>
          <w:rFonts w:ascii="Helvetica" w:eastAsia="Helvetica" w:hAnsi="Helvetica" w:cs="Helvetica"/>
          <w:sz w:val="22"/>
          <w:szCs w:val="22"/>
        </w:rPr>
        <w:t>receive</w:t>
      </w:r>
      <w:r w:rsidR="3A878784" w:rsidRPr="3A878784">
        <w:rPr>
          <w:rStyle w:val="eop"/>
          <w:rFonts w:ascii="Helvetica" w:eastAsia="Helvetica" w:hAnsi="Helvetica" w:cs="Helvetica"/>
          <w:sz w:val="22"/>
          <w:szCs w:val="22"/>
        </w:rPr>
        <w:t xml:space="preserve"> the full benefit. Low-income families can at most get $1,400 per child back as a refund compared to a family earning $400,000, who will get to deduct the full $2,000 credit per child off their taxes.</w:t>
      </w:r>
      <w:r w:rsidR="00FB72C0">
        <w:rPr>
          <w:rStyle w:val="FootnoteReference"/>
          <w:rFonts w:ascii="Helvetica" w:eastAsia="Helvetica" w:hAnsi="Helvetica" w:cs="Helvetica"/>
          <w:sz w:val="22"/>
          <w:szCs w:val="22"/>
        </w:rPr>
        <w:footnoteReference w:id="46"/>
      </w:r>
      <w:r w:rsidR="00C825D8">
        <w:rPr>
          <w:rStyle w:val="eop"/>
          <w:rFonts w:ascii="Helvetica" w:eastAsia="Helvetica" w:hAnsi="Helvetica" w:cs="Helvetica"/>
          <w:sz w:val="22"/>
          <w:szCs w:val="22"/>
        </w:rPr>
        <w:t xml:space="preserve"> Meanwhile, the </w:t>
      </w:r>
      <w:r w:rsidR="008E569A">
        <w:rPr>
          <w:rStyle w:val="eop"/>
          <w:rFonts w:ascii="Helvetica" w:eastAsia="Helvetica" w:hAnsi="Helvetica" w:cs="Helvetica"/>
          <w:sz w:val="22"/>
          <w:szCs w:val="22"/>
        </w:rPr>
        <w:t xml:space="preserve">TCJA took away eligibility for the CTC for 1 million children in immigrant </w:t>
      </w:r>
      <w:r w:rsidR="00C546C8">
        <w:rPr>
          <w:rStyle w:val="eop"/>
          <w:rFonts w:ascii="Helvetica" w:eastAsia="Helvetica" w:hAnsi="Helvetica" w:cs="Helvetica"/>
          <w:sz w:val="22"/>
          <w:szCs w:val="22"/>
        </w:rPr>
        <w:t>families and</w:t>
      </w:r>
      <w:r w:rsidR="00244B7B">
        <w:rPr>
          <w:rStyle w:val="eop"/>
          <w:rFonts w:ascii="Helvetica" w:eastAsia="Helvetica" w:hAnsi="Helvetica" w:cs="Helvetica"/>
          <w:sz w:val="22"/>
          <w:szCs w:val="22"/>
        </w:rPr>
        <w:t xml:space="preserve"> erodes</w:t>
      </w:r>
      <w:r w:rsidR="3A878784" w:rsidRPr="3A878784">
        <w:rPr>
          <w:rStyle w:val="eop"/>
          <w:rFonts w:ascii="Helvetica" w:eastAsia="Helvetica" w:hAnsi="Helvetica" w:cs="Helvetica"/>
          <w:sz w:val="22"/>
          <w:szCs w:val="22"/>
        </w:rPr>
        <w:t xml:space="preserve"> the EITC</w:t>
      </w:r>
      <w:r w:rsidR="00244B7B">
        <w:rPr>
          <w:rStyle w:val="eop"/>
          <w:rFonts w:ascii="Helvetica" w:eastAsia="Helvetica" w:hAnsi="Helvetica" w:cs="Helvetica"/>
          <w:sz w:val="22"/>
          <w:szCs w:val="22"/>
        </w:rPr>
        <w:t>’s value for low-income families over time</w:t>
      </w:r>
      <w:r w:rsidR="3A878784" w:rsidRPr="3A878784">
        <w:rPr>
          <w:rStyle w:val="eop"/>
          <w:rFonts w:ascii="Helvetica" w:eastAsia="Helvetica" w:hAnsi="Helvetica" w:cs="Helvetica"/>
          <w:sz w:val="22"/>
          <w:szCs w:val="22"/>
        </w:rPr>
        <w:t>.</w:t>
      </w:r>
      <w:r w:rsidR="006B068E">
        <w:rPr>
          <w:rStyle w:val="FootnoteReference"/>
          <w:rFonts w:ascii="Helvetica" w:eastAsia="Helvetica" w:hAnsi="Helvetica" w:cs="Helvetica"/>
          <w:sz w:val="22"/>
          <w:szCs w:val="22"/>
        </w:rPr>
        <w:footnoteReference w:id="47"/>
      </w:r>
    </w:p>
    <w:p w14:paraId="31BA1369" w14:textId="32CC491E" w:rsidR="3A878784" w:rsidRDefault="3A878784" w:rsidP="3A878784">
      <w:pPr>
        <w:pStyle w:val="paragraph"/>
        <w:spacing w:after="120" w:line="276" w:lineRule="auto"/>
        <w:rPr>
          <w:rStyle w:val="eop"/>
          <w:rFonts w:ascii="Helvetica" w:eastAsia="Helvetica" w:hAnsi="Helvetica" w:cs="Helvetica"/>
          <w:sz w:val="22"/>
          <w:szCs w:val="22"/>
        </w:rPr>
      </w:pPr>
      <w:r w:rsidRPr="3A878784">
        <w:rPr>
          <w:rStyle w:val="eop"/>
          <w:rFonts w:ascii="Helvetica" w:eastAsia="Helvetica" w:hAnsi="Helvetica" w:cs="Helvetica"/>
          <w:sz w:val="22"/>
          <w:szCs w:val="22"/>
        </w:rPr>
        <w:t>Finally,</w:t>
      </w:r>
      <w:r w:rsidR="00B7111F">
        <w:rPr>
          <w:rStyle w:val="eop"/>
          <w:rFonts w:ascii="Helvetica" w:eastAsia="Helvetica" w:hAnsi="Helvetica" w:cs="Helvetica"/>
          <w:sz w:val="22"/>
          <w:szCs w:val="22"/>
        </w:rPr>
        <w:t xml:space="preserve"> estate tax </w:t>
      </w:r>
      <w:r w:rsidR="00560CD5">
        <w:rPr>
          <w:rStyle w:val="eop"/>
          <w:rFonts w:ascii="Helvetica" w:eastAsia="Helvetica" w:hAnsi="Helvetica" w:cs="Helvetica"/>
          <w:sz w:val="22"/>
          <w:szCs w:val="22"/>
        </w:rPr>
        <w:t xml:space="preserve">exemptions were doubled, </w:t>
      </w:r>
      <w:r w:rsidR="00B7111F">
        <w:rPr>
          <w:rStyle w:val="eop"/>
          <w:rFonts w:ascii="Helvetica" w:eastAsia="Helvetica" w:hAnsi="Helvetica" w:cs="Helvetica"/>
          <w:sz w:val="22"/>
          <w:szCs w:val="22"/>
        </w:rPr>
        <w:t>allowing</w:t>
      </w:r>
      <w:r w:rsidR="00D72007">
        <w:rPr>
          <w:rStyle w:val="eop"/>
          <w:rFonts w:ascii="Helvetica" w:eastAsia="Helvetica" w:hAnsi="Helvetica" w:cs="Helvetica"/>
          <w:sz w:val="22"/>
          <w:szCs w:val="22"/>
        </w:rPr>
        <w:t xml:space="preserve"> </w:t>
      </w:r>
      <w:r w:rsidR="00AD0B76">
        <w:rPr>
          <w:rStyle w:val="eop"/>
          <w:rFonts w:ascii="Helvetica" w:eastAsia="Helvetica" w:hAnsi="Helvetica" w:cs="Helvetica"/>
          <w:sz w:val="22"/>
          <w:szCs w:val="22"/>
        </w:rPr>
        <w:t xml:space="preserve">individuals </w:t>
      </w:r>
      <w:r w:rsidR="00BC21F5">
        <w:rPr>
          <w:rStyle w:val="eop"/>
          <w:rFonts w:ascii="Helvetica" w:eastAsia="Helvetica" w:hAnsi="Helvetica" w:cs="Helvetica"/>
          <w:sz w:val="22"/>
          <w:szCs w:val="22"/>
        </w:rPr>
        <w:t xml:space="preserve">who </w:t>
      </w:r>
      <w:r w:rsidR="00B7111F">
        <w:rPr>
          <w:rStyle w:val="eop"/>
          <w:rFonts w:ascii="Helvetica" w:eastAsia="Helvetica" w:hAnsi="Helvetica" w:cs="Helvetica"/>
          <w:sz w:val="22"/>
          <w:szCs w:val="22"/>
        </w:rPr>
        <w:t>inherit</w:t>
      </w:r>
      <w:r w:rsidR="00512B3F">
        <w:rPr>
          <w:rStyle w:val="eop"/>
          <w:rFonts w:ascii="Helvetica" w:eastAsia="Helvetica" w:hAnsi="Helvetica" w:cs="Helvetica"/>
          <w:sz w:val="22"/>
          <w:szCs w:val="22"/>
        </w:rPr>
        <w:t xml:space="preserve"> estates worth</w:t>
      </w:r>
      <w:r w:rsidR="00560CD5">
        <w:rPr>
          <w:rStyle w:val="eop"/>
          <w:rFonts w:ascii="Helvetica" w:eastAsia="Helvetica" w:hAnsi="Helvetica" w:cs="Helvetica"/>
          <w:sz w:val="22"/>
          <w:szCs w:val="22"/>
        </w:rPr>
        <w:t xml:space="preserve"> </w:t>
      </w:r>
      <w:r w:rsidR="00512B3F">
        <w:rPr>
          <w:rStyle w:val="eop"/>
          <w:rFonts w:ascii="Helvetica" w:eastAsia="Helvetica" w:hAnsi="Helvetica" w:cs="Helvetica"/>
          <w:sz w:val="22"/>
          <w:szCs w:val="22"/>
        </w:rPr>
        <w:t xml:space="preserve">up to </w:t>
      </w:r>
      <w:r w:rsidR="009972A4">
        <w:rPr>
          <w:rStyle w:val="eop"/>
          <w:rFonts w:ascii="Helvetica" w:eastAsia="Helvetica" w:hAnsi="Helvetica" w:cs="Helvetica"/>
          <w:sz w:val="22"/>
          <w:szCs w:val="22"/>
        </w:rPr>
        <w:t xml:space="preserve">$11 million </w:t>
      </w:r>
      <w:r w:rsidR="00BC21F5">
        <w:rPr>
          <w:rStyle w:val="eop"/>
          <w:rFonts w:ascii="Helvetica" w:eastAsia="Helvetica" w:hAnsi="Helvetica" w:cs="Helvetica"/>
          <w:sz w:val="22"/>
          <w:szCs w:val="22"/>
        </w:rPr>
        <w:t>to pay no taxes on that inheritance</w:t>
      </w:r>
      <w:r w:rsidR="00560CD5">
        <w:rPr>
          <w:rStyle w:val="eop"/>
          <w:rFonts w:ascii="Helvetica" w:eastAsia="Helvetica" w:hAnsi="Helvetica" w:cs="Helvetica"/>
          <w:sz w:val="22"/>
          <w:szCs w:val="22"/>
        </w:rPr>
        <w:t>.</w:t>
      </w:r>
      <w:r w:rsidR="00DC29DB">
        <w:rPr>
          <w:rStyle w:val="eop"/>
          <w:rFonts w:ascii="Helvetica" w:eastAsia="Helvetica" w:hAnsi="Helvetica" w:cs="Helvetica"/>
          <w:sz w:val="22"/>
          <w:szCs w:val="22"/>
        </w:rPr>
        <w:t xml:space="preserve"> This change expires in</w:t>
      </w:r>
      <w:r w:rsidR="005917FB">
        <w:rPr>
          <w:rStyle w:val="eop"/>
          <w:rFonts w:ascii="Helvetica" w:eastAsia="Helvetica" w:hAnsi="Helvetica" w:cs="Helvetica"/>
          <w:sz w:val="22"/>
          <w:szCs w:val="22"/>
        </w:rPr>
        <w:t xml:space="preserve"> 2025</w:t>
      </w:r>
      <w:r w:rsidR="004F4657">
        <w:rPr>
          <w:rStyle w:val="eop"/>
          <w:rFonts w:ascii="Helvetica" w:eastAsia="Helvetica" w:hAnsi="Helvetica" w:cs="Helvetica"/>
          <w:sz w:val="22"/>
          <w:szCs w:val="22"/>
        </w:rPr>
        <w:t xml:space="preserve"> and</w:t>
      </w:r>
      <w:r w:rsidR="001A5131">
        <w:rPr>
          <w:rStyle w:val="eop"/>
          <w:rFonts w:ascii="Helvetica" w:eastAsia="Helvetica" w:hAnsi="Helvetica" w:cs="Helvetica"/>
          <w:sz w:val="22"/>
          <w:szCs w:val="22"/>
        </w:rPr>
        <w:t xml:space="preserve"> is projected to decrease revenue by</w:t>
      </w:r>
      <w:r w:rsidR="00480F83">
        <w:rPr>
          <w:rStyle w:val="eop"/>
          <w:rFonts w:ascii="Helvetica" w:eastAsia="Helvetica" w:hAnsi="Helvetica" w:cs="Helvetica"/>
          <w:sz w:val="22"/>
          <w:szCs w:val="22"/>
        </w:rPr>
        <w:t xml:space="preserve"> over $5 </w:t>
      </w:r>
      <w:r w:rsidR="004F4657">
        <w:rPr>
          <w:rStyle w:val="eop"/>
          <w:rFonts w:ascii="Helvetica" w:eastAsia="Helvetica" w:hAnsi="Helvetica" w:cs="Helvetica"/>
          <w:sz w:val="22"/>
          <w:szCs w:val="22"/>
        </w:rPr>
        <w:t>billion just in its first year, while benefitting</w:t>
      </w:r>
      <w:r w:rsidR="001A5131">
        <w:rPr>
          <w:rStyle w:val="eop"/>
          <w:rFonts w:ascii="Helvetica" w:eastAsia="Helvetica" w:hAnsi="Helvetica" w:cs="Helvetica"/>
          <w:sz w:val="22"/>
          <w:szCs w:val="22"/>
        </w:rPr>
        <w:t xml:space="preserve"> </w:t>
      </w:r>
      <w:r w:rsidR="0098156F">
        <w:rPr>
          <w:rStyle w:val="eop"/>
          <w:rFonts w:ascii="Helvetica" w:eastAsia="Helvetica" w:hAnsi="Helvetica" w:cs="Helvetica"/>
          <w:sz w:val="22"/>
          <w:szCs w:val="22"/>
        </w:rPr>
        <w:t xml:space="preserve">less than 2,000 </w:t>
      </w:r>
      <w:r w:rsidR="00245148">
        <w:rPr>
          <w:rStyle w:val="eop"/>
          <w:rFonts w:ascii="Helvetica" w:eastAsia="Helvetica" w:hAnsi="Helvetica" w:cs="Helvetica"/>
          <w:sz w:val="22"/>
          <w:szCs w:val="22"/>
        </w:rPr>
        <w:t>American</w:t>
      </w:r>
      <w:r w:rsidR="008D5602">
        <w:rPr>
          <w:rStyle w:val="eop"/>
          <w:rFonts w:ascii="Helvetica" w:eastAsia="Helvetica" w:hAnsi="Helvetica" w:cs="Helvetica"/>
          <w:sz w:val="22"/>
          <w:szCs w:val="22"/>
        </w:rPr>
        <w:t>s</w:t>
      </w:r>
      <w:r w:rsidR="00F735E5">
        <w:rPr>
          <w:rStyle w:val="eop"/>
          <w:rFonts w:ascii="Helvetica" w:eastAsia="Helvetica" w:hAnsi="Helvetica" w:cs="Helvetica"/>
          <w:sz w:val="22"/>
          <w:szCs w:val="22"/>
        </w:rPr>
        <w:t>.</w:t>
      </w:r>
      <w:r w:rsidR="00D36AC1">
        <w:rPr>
          <w:rStyle w:val="FootnoteReference"/>
          <w:rFonts w:ascii="Helvetica" w:eastAsia="Helvetica" w:hAnsi="Helvetica" w:cs="Helvetica"/>
          <w:sz w:val="22"/>
          <w:szCs w:val="22"/>
        </w:rPr>
        <w:footnoteReference w:id="48"/>
      </w:r>
      <w:r w:rsidR="00F735E5">
        <w:rPr>
          <w:rStyle w:val="eop"/>
          <w:rFonts w:ascii="Helvetica" w:eastAsia="Helvetica" w:hAnsi="Helvetica" w:cs="Helvetica"/>
          <w:sz w:val="22"/>
          <w:szCs w:val="22"/>
          <w:vertAlign w:val="superscript"/>
        </w:rPr>
        <w:t>&amp;</w:t>
      </w:r>
      <w:r w:rsidR="00EF1A6E">
        <w:rPr>
          <w:rStyle w:val="FootnoteReference"/>
          <w:rFonts w:ascii="Helvetica" w:eastAsia="Helvetica" w:hAnsi="Helvetica" w:cs="Helvetica"/>
          <w:sz w:val="22"/>
          <w:szCs w:val="22"/>
        </w:rPr>
        <w:footnoteReference w:id="49"/>
      </w:r>
      <w:r w:rsidR="000804BA">
        <w:rPr>
          <w:rStyle w:val="eop"/>
          <w:rFonts w:ascii="Helvetica" w:eastAsia="Helvetica" w:hAnsi="Helvetica" w:cs="Helvetica"/>
          <w:sz w:val="22"/>
          <w:szCs w:val="22"/>
        </w:rPr>
        <w:t xml:space="preserve"> </w:t>
      </w:r>
      <w:r w:rsidR="0029072C">
        <w:rPr>
          <w:rStyle w:val="eop"/>
          <w:rFonts w:ascii="Helvetica" w:eastAsia="Helvetica" w:hAnsi="Helvetica" w:cs="Helvetica"/>
          <w:sz w:val="22"/>
          <w:szCs w:val="22"/>
        </w:rPr>
        <w:t>Prior to drastic tax cuts</w:t>
      </w:r>
      <w:r w:rsidR="0090305B">
        <w:rPr>
          <w:rStyle w:val="eop"/>
          <w:rFonts w:ascii="Helvetica" w:eastAsia="Helvetica" w:hAnsi="Helvetica" w:cs="Helvetica"/>
          <w:sz w:val="22"/>
          <w:szCs w:val="22"/>
        </w:rPr>
        <w:t xml:space="preserve"> </w:t>
      </w:r>
      <w:r w:rsidR="009623E2">
        <w:rPr>
          <w:rStyle w:val="eop"/>
          <w:rFonts w:ascii="Helvetica" w:eastAsia="Helvetica" w:hAnsi="Helvetica" w:cs="Helvetica"/>
          <w:sz w:val="22"/>
          <w:szCs w:val="22"/>
        </w:rPr>
        <w:t>since 2001</w:t>
      </w:r>
      <w:r w:rsidR="0029072C">
        <w:rPr>
          <w:rStyle w:val="eop"/>
          <w:rFonts w:ascii="Helvetica" w:eastAsia="Helvetica" w:hAnsi="Helvetica" w:cs="Helvetica"/>
          <w:sz w:val="22"/>
          <w:szCs w:val="22"/>
        </w:rPr>
        <w:t xml:space="preserve">, the estate tax has generated as much as </w:t>
      </w:r>
      <w:r w:rsidR="00F20E1B">
        <w:rPr>
          <w:rStyle w:val="eop"/>
          <w:rFonts w:ascii="Helvetica" w:eastAsia="Helvetica" w:hAnsi="Helvetica" w:cs="Helvetica"/>
          <w:sz w:val="22"/>
          <w:szCs w:val="22"/>
        </w:rPr>
        <w:t>$</w:t>
      </w:r>
      <w:r w:rsidR="00724ED7">
        <w:rPr>
          <w:rStyle w:val="eop"/>
          <w:rFonts w:ascii="Helvetica" w:eastAsia="Helvetica" w:hAnsi="Helvetica" w:cs="Helvetica"/>
          <w:sz w:val="22"/>
          <w:szCs w:val="22"/>
        </w:rPr>
        <w:t>2</w:t>
      </w:r>
      <w:r w:rsidR="00FE660D">
        <w:rPr>
          <w:rStyle w:val="eop"/>
          <w:rFonts w:ascii="Helvetica" w:eastAsia="Helvetica" w:hAnsi="Helvetica" w:cs="Helvetica"/>
          <w:sz w:val="22"/>
          <w:szCs w:val="22"/>
        </w:rPr>
        <w:t xml:space="preserve">4.6 </w:t>
      </w:r>
      <w:r w:rsidR="00724ED7">
        <w:rPr>
          <w:rStyle w:val="eop"/>
          <w:rFonts w:ascii="Helvetica" w:eastAsia="Helvetica" w:hAnsi="Helvetica" w:cs="Helvetica"/>
          <w:sz w:val="22"/>
          <w:szCs w:val="22"/>
        </w:rPr>
        <w:t>billion in revenue</w:t>
      </w:r>
      <w:r w:rsidR="00FE660D">
        <w:rPr>
          <w:rStyle w:val="eop"/>
          <w:rFonts w:ascii="Helvetica" w:eastAsia="Helvetica" w:hAnsi="Helvetica" w:cs="Helvetica"/>
          <w:sz w:val="22"/>
          <w:szCs w:val="22"/>
        </w:rPr>
        <w:t>, annually.</w:t>
      </w:r>
      <w:r w:rsidR="00523994">
        <w:rPr>
          <w:rStyle w:val="FootnoteReference"/>
          <w:rFonts w:ascii="Helvetica" w:eastAsia="Helvetica" w:hAnsi="Helvetica" w:cs="Helvetica"/>
          <w:sz w:val="22"/>
          <w:szCs w:val="22"/>
        </w:rPr>
        <w:footnoteReference w:id="50"/>
      </w:r>
      <w:r w:rsidR="00724ED7">
        <w:rPr>
          <w:rStyle w:val="eop"/>
          <w:rFonts w:ascii="Helvetica" w:eastAsia="Helvetica" w:hAnsi="Helvetica" w:cs="Helvetica"/>
          <w:sz w:val="22"/>
          <w:szCs w:val="22"/>
        </w:rPr>
        <w:t xml:space="preserve"> </w:t>
      </w:r>
      <w:r w:rsidR="00560CD5">
        <w:rPr>
          <w:rStyle w:val="eop"/>
          <w:rFonts w:ascii="Helvetica" w:eastAsia="Helvetica" w:hAnsi="Helvetica" w:cs="Helvetica"/>
          <w:sz w:val="22"/>
          <w:szCs w:val="22"/>
        </w:rPr>
        <w:t>An</w:t>
      </w:r>
      <w:r w:rsidRPr="3A878784">
        <w:rPr>
          <w:rStyle w:val="eop"/>
          <w:rFonts w:ascii="Helvetica" w:eastAsia="Helvetica" w:hAnsi="Helvetica" w:cs="Helvetica"/>
          <w:sz w:val="22"/>
          <w:szCs w:val="22"/>
        </w:rPr>
        <w:t>d</w:t>
      </w:r>
      <w:r w:rsidR="00560CD5">
        <w:rPr>
          <w:rStyle w:val="eop"/>
          <w:rFonts w:ascii="Helvetica" w:eastAsia="Helvetica" w:hAnsi="Helvetica" w:cs="Helvetica"/>
          <w:sz w:val="22"/>
          <w:szCs w:val="22"/>
        </w:rPr>
        <w:t>,</w:t>
      </w:r>
      <w:r w:rsidRPr="3A878784">
        <w:rPr>
          <w:rStyle w:val="eop"/>
          <w:rFonts w:ascii="Helvetica" w:eastAsia="Helvetica" w:hAnsi="Helvetica" w:cs="Helvetica"/>
          <w:sz w:val="22"/>
          <w:szCs w:val="22"/>
        </w:rPr>
        <w:t xml:space="preserve"> many businesses organized as "pass through" companies will get a 20 percent reduction in their tax rate.</w:t>
      </w:r>
      <w:r w:rsidRPr="3A878784">
        <w:rPr>
          <w:rStyle w:val="FootnoteReference"/>
          <w:rFonts w:ascii="Helvetica" w:eastAsia="Helvetica" w:hAnsi="Helvetica" w:cs="Helvetica"/>
          <w:sz w:val="22"/>
          <w:szCs w:val="22"/>
        </w:rPr>
        <w:footnoteReference w:id="51"/>
      </w:r>
    </w:p>
    <w:p w14:paraId="39515CAD" w14:textId="77777777" w:rsidR="000F28BF" w:rsidRDefault="000F28BF" w:rsidP="3A878784">
      <w:pPr>
        <w:pStyle w:val="paragraph"/>
        <w:spacing w:after="120" w:line="276" w:lineRule="auto"/>
        <w:rPr>
          <w:rStyle w:val="eop"/>
          <w:rFonts w:ascii="Helvetica" w:eastAsia="Helvetica" w:hAnsi="Helvetica" w:cs="Helvetica"/>
          <w:b/>
          <w:bCs/>
          <w:i/>
          <w:iCs/>
          <w:sz w:val="22"/>
          <w:szCs w:val="22"/>
        </w:rPr>
      </w:pPr>
    </w:p>
    <w:p w14:paraId="3E09B939" w14:textId="77777777" w:rsidR="000F28BF" w:rsidRDefault="000F28BF" w:rsidP="3A878784">
      <w:pPr>
        <w:pStyle w:val="paragraph"/>
        <w:spacing w:after="120" w:line="276" w:lineRule="auto"/>
        <w:rPr>
          <w:rStyle w:val="eop"/>
          <w:rFonts w:ascii="Helvetica" w:eastAsia="Helvetica" w:hAnsi="Helvetica" w:cs="Helvetica"/>
          <w:b/>
          <w:bCs/>
          <w:i/>
          <w:iCs/>
          <w:sz w:val="22"/>
          <w:szCs w:val="22"/>
        </w:rPr>
      </w:pPr>
    </w:p>
    <w:p w14:paraId="70BA8D28" w14:textId="17B8A7BD" w:rsidR="3A878784" w:rsidRPr="00C546C8" w:rsidRDefault="3A878784" w:rsidP="3A878784">
      <w:pPr>
        <w:pStyle w:val="paragraph"/>
        <w:spacing w:after="120" w:line="276" w:lineRule="auto"/>
        <w:rPr>
          <w:rStyle w:val="eop"/>
          <w:rFonts w:ascii="Helvetica" w:eastAsia="Helvetica" w:hAnsi="Helvetica" w:cs="Helvetica"/>
          <w:b/>
          <w:bCs/>
          <w:iCs/>
          <w:sz w:val="28"/>
          <w:szCs w:val="28"/>
        </w:rPr>
      </w:pPr>
      <w:r w:rsidRPr="00C546C8">
        <w:rPr>
          <w:rStyle w:val="eop"/>
          <w:rFonts w:ascii="Helvetica" w:eastAsia="Helvetica" w:hAnsi="Helvetica" w:cs="Helvetica"/>
          <w:b/>
          <w:bCs/>
          <w:iCs/>
          <w:sz w:val="28"/>
          <w:szCs w:val="28"/>
        </w:rPr>
        <w:lastRenderedPageBreak/>
        <w:t xml:space="preserve">Who it </w:t>
      </w:r>
      <w:r w:rsidR="00390EAE">
        <w:rPr>
          <w:rStyle w:val="eop"/>
          <w:rFonts w:ascii="Helvetica" w:eastAsia="Helvetica" w:hAnsi="Helvetica" w:cs="Helvetica"/>
          <w:b/>
          <w:bCs/>
          <w:iCs/>
          <w:sz w:val="28"/>
          <w:szCs w:val="28"/>
        </w:rPr>
        <w:t>A</w:t>
      </w:r>
      <w:r w:rsidRPr="00C546C8">
        <w:rPr>
          <w:rStyle w:val="eop"/>
          <w:rFonts w:ascii="Helvetica" w:eastAsia="Helvetica" w:hAnsi="Helvetica" w:cs="Helvetica"/>
          <w:b/>
          <w:bCs/>
          <w:iCs/>
          <w:sz w:val="28"/>
          <w:szCs w:val="28"/>
        </w:rPr>
        <w:t xml:space="preserve">ffects and </w:t>
      </w:r>
      <w:r w:rsidR="00390EAE">
        <w:rPr>
          <w:rStyle w:val="eop"/>
          <w:rFonts w:ascii="Helvetica" w:eastAsia="Helvetica" w:hAnsi="Helvetica" w:cs="Helvetica"/>
          <w:b/>
          <w:bCs/>
          <w:iCs/>
          <w:sz w:val="28"/>
          <w:szCs w:val="28"/>
        </w:rPr>
        <w:t>W</w:t>
      </w:r>
      <w:r w:rsidRPr="00C546C8">
        <w:rPr>
          <w:rStyle w:val="eop"/>
          <w:rFonts w:ascii="Helvetica" w:eastAsia="Helvetica" w:hAnsi="Helvetica" w:cs="Helvetica"/>
          <w:b/>
          <w:bCs/>
          <w:iCs/>
          <w:sz w:val="28"/>
          <w:szCs w:val="28"/>
        </w:rPr>
        <w:t xml:space="preserve">ho </w:t>
      </w:r>
      <w:r w:rsidR="00390EAE">
        <w:rPr>
          <w:rStyle w:val="eop"/>
          <w:rFonts w:ascii="Helvetica" w:eastAsia="Helvetica" w:hAnsi="Helvetica" w:cs="Helvetica"/>
          <w:b/>
          <w:bCs/>
          <w:iCs/>
          <w:sz w:val="28"/>
          <w:szCs w:val="28"/>
        </w:rPr>
        <w:t>B</w:t>
      </w:r>
      <w:r w:rsidRPr="00C546C8">
        <w:rPr>
          <w:rStyle w:val="eop"/>
          <w:rFonts w:ascii="Helvetica" w:eastAsia="Helvetica" w:hAnsi="Helvetica" w:cs="Helvetica"/>
          <w:b/>
          <w:bCs/>
          <w:iCs/>
          <w:sz w:val="28"/>
          <w:szCs w:val="28"/>
        </w:rPr>
        <w:t xml:space="preserve">enefits? </w:t>
      </w:r>
    </w:p>
    <w:p w14:paraId="52596BB5" w14:textId="67C64395" w:rsidR="3A878784" w:rsidRDefault="3A878784" w:rsidP="3A878784">
      <w:pPr>
        <w:pStyle w:val="paragraph"/>
        <w:spacing w:after="120" w:line="276" w:lineRule="auto"/>
        <w:rPr>
          <w:rStyle w:val="eop"/>
          <w:rFonts w:ascii="Helvetica" w:eastAsia="Helvetica" w:hAnsi="Helvetica" w:cs="Helvetica"/>
          <w:sz w:val="22"/>
          <w:szCs w:val="22"/>
        </w:rPr>
      </w:pPr>
      <w:r w:rsidRPr="3A878784">
        <w:rPr>
          <w:rStyle w:val="eop"/>
          <w:rFonts w:ascii="Helvetica" w:eastAsia="Helvetica" w:hAnsi="Helvetica" w:cs="Helvetica"/>
          <w:sz w:val="22"/>
          <w:szCs w:val="22"/>
        </w:rPr>
        <w:t>The working and middle class will be affected the most negatively by the tax law</w:t>
      </w:r>
      <w:r w:rsidR="00F210FB">
        <w:rPr>
          <w:rStyle w:val="eop"/>
          <w:rFonts w:ascii="Helvetica" w:eastAsia="Helvetica" w:hAnsi="Helvetica" w:cs="Helvetica"/>
          <w:sz w:val="22"/>
          <w:szCs w:val="22"/>
        </w:rPr>
        <w:t xml:space="preserve"> – the loss </w:t>
      </w:r>
      <w:r w:rsidR="00C33B5E">
        <w:rPr>
          <w:rStyle w:val="eop"/>
          <w:rFonts w:ascii="Helvetica" w:eastAsia="Helvetica" w:hAnsi="Helvetica" w:cs="Helvetica"/>
          <w:sz w:val="22"/>
          <w:szCs w:val="22"/>
        </w:rPr>
        <w:t xml:space="preserve">of trillions in revenue means less resources to invest in health care, food assistance, education, and more – and already some policymakers are calling for </w:t>
      </w:r>
      <w:r w:rsidR="00173926">
        <w:rPr>
          <w:rStyle w:val="eop"/>
          <w:rFonts w:ascii="Helvetica" w:eastAsia="Helvetica" w:hAnsi="Helvetica" w:cs="Helvetica"/>
          <w:sz w:val="22"/>
          <w:szCs w:val="22"/>
        </w:rPr>
        <w:t>cuts to anti-poverty programs to deal with the increased deficit</w:t>
      </w:r>
      <w:r w:rsidRPr="3A878784">
        <w:rPr>
          <w:rStyle w:val="eop"/>
          <w:rFonts w:ascii="Helvetica" w:eastAsia="Helvetica" w:hAnsi="Helvetica" w:cs="Helvetica"/>
          <w:sz w:val="22"/>
          <w:szCs w:val="22"/>
        </w:rPr>
        <w:t>.</w:t>
      </w:r>
      <w:r w:rsidR="00187295">
        <w:rPr>
          <w:rStyle w:val="FootnoteReference"/>
          <w:rFonts w:ascii="Helvetica" w:eastAsia="Helvetica" w:hAnsi="Helvetica" w:cs="Helvetica"/>
          <w:sz w:val="22"/>
          <w:szCs w:val="22"/>
        </w:rPr>
        <w:footnoteReference w:id="52"/>
      </w:r>
      <w:r w:rsidRPr="3A878784">
        <w:rPr>
          <w:rStyle w:val="eop"/>
          <w:rFonts w:ascii="Helvetica" w:eastAsia="Helvetica" w:hAnsi="Helvetica" w:cs="Helvetica"/>
          <w:sz w:val="22"/>
          <w:szCs w:val="22"/>
        </w:rPr>
        <w:t xml:space="preserve"> The tax law will benefit wealthy individuals and small businesses (see </w:t>
      </w:r>
      <w:r w:rsidR="00532526">
        <w:rPr>
          <w:rStyle w:val="eop"/>
          <w:rFonts w:ascii="Helvetica" w:eastAsia="Helvetica" w:hAnsi="Helvetica" w:cs="Helvetica"/>
          <w:sz w:val="22"/>
          <w:szCs w:val="22"/>
        </w:rPr>
        <w:t>f</w:t>
      </w:r>
      <w:r w:rsidRPr="3A878784">
        <w:rPr>
          <w:rStyle w:val="eop"/>
          <w:rFonts w:ascii="Helvetica" w:eastAsia="Helvetica" w:hAnsi="Helvetica" w:cs="Helvetica"/>
          <w:sz w:val="22"/>
          <w:szCs w:val="22"/>
        </w:rPr>
        <w:t xml:space="preserve">igure </w:t>
      </w:r>
      <w:r w:rsidR="00150A09">
        <w:rPr>
          <w:rStyle w:val="eop"/>
          <w:rFonts w:ascii="Helvetica" w:eastAsia="Helvetica" w:hAnsi="Helvetica" w:cs="Helvetica"/>
          <w:sz w:val="22"/>
          <w:szCs w:val="22"/>
        </w:rPr>
        <w:t>3</w:t>
      </w:r>
      <w:r w:rsidR="00532526">
        <w:rPr>
          <w:rStyle w:val="eop"/>
          <w:rFonts w:ascii="Helvetica" w:eastAsia="Helvetica" w:hAnsi="Helvetica" w:cs="Helvetica"/>
          <w:sz w:val="22"/>
          <w:szCs w:val="22"/>
        </w:rPr>
        <w:t xml:space="preserve"> and </w:t>
      </w:r>
      <w:r w:rsidR="00145F2B">
        <w:rPr>
          <w:rStyle w:val="eop"/>
          <w:rFonts w:ascii="Helvetica" w:eastAsia="Helvetica" w:hAnsi="Helvetica" w:cs="Helvetica"/>
          <w:sz w:val="22"/>
          <w:szCs w:val="22"/>
        </w:rPr>
        <w:t>5</w:t>
      </w:r>
      <w:r w:rsidRPr="3A878784">
        <w:rPr>
          <w:rStyle w:val="eop"/>
          <w:rFonts w:ascii="Helvetica" w:eastAsia="Helvetica" w:hAnsi="Helvetica" w:cs="Helvetica"/>
          <w:sz w:val="22"/>
          <w:szCs w:val="22"/>
        </w:rPr>
        <w:t>). Forty-three percent of the tax benefits would go to Americans with incomes in the top 5 percent — above $290,000 — while only 19 percent of the benefits would go to Americans with incomes in the bottom 60 percent, or those making less than $81,000.</w:t>
      </w:r>
      <w:r w:rsidRPr="3A878784">
        <w:rPr>
          <w:rStyle w:val="FootnoteReference"/>
          <w:rFonts w:ascii="Helvetica" w:eastAsia="Helvetica" w:hAnsi="Helvetica" w:cs="Helvetica"/>
          <w:sz w:val="22"/>
          <w:szCs w:val="22"/>
        </w:rPr>
        <w:footnoteReference w:id="53"/>
      </w:r>
      <w:r w:rsidRPr="3A878784">
        <w:rPr>
          <w:rStyle w:val="eop"/>
          <w:rFonts w:ascii="Helvetica" w:eastAsia="Helvetica" w:hAnsi="Helvetica" w:cs="Helvetica"/>
          <w:sz w:val="22"/>
          <w:szCs w:val="22"/>
        </w:rPr>
        <w:t xml:space="preserve"> The new law favors people with the highest incomes and has opened vast new opportunities for well-heeled taxpayers to game the system.</w:t>
      </w:r>
      <w:r w:rsidRPr="3A878784">
        <w:rPr>
          <w:rStyle w:val="FootnoteReference"/>
          <w:rFonts w:ascii="Helvetica" w:eastAsia="Helvetica" w:hAnsi="Helvetica" w:cs="Helvetica"/>
          <w:sz w:val="22"/>
          <w:szCs w:val="22"/>
        </w:rPr>
        <w:footnoteReference w:id="54"/>
      </w:r>
    </w:p>
    <w:p w14:paraId="3E066E9B" w14:textId="76408B46" w:rsidR="3A878784" w:rsidRPr="00C546C8" w:rsidRDefault="3A878784" w:rsidP="00C546C8">
      <w:pPr>
        <w:pStyle w:val="paragraph"/>
        <w:spacing w:after="120" w:line="276" w:lineRule="auto"/>
        <w:rPr>
          <w:rStyle w:val="eop"/>
          <w:rFonts w:ascii="Helvetica" w:eastAsia="Helvetica" w:hAnsi="Helvetica" w:cs="Helvetica"/>
          <w:iCs/>
          <w:sz w:val="28"/>
          <w:szCs w:val="28"/>
        </w:rPr>
      </w:pPr>
      <w:r w:rsidRPr="00C546C8">
        <w:rPr>
          <w:rStyle w:val="eop"/>
          <w:rFonts w:ascii="Helvetica" w:eastAsia="Helvetica" w:hAnsi="Helvetica" w:cs="Helvetica"/>
          <w:b/>
          <w:bCs/>
          <w:iCs/>
          <w:sz w:val="28"/>
          <w:szCs w:val="28"/>
        </w:rPr>
        <w:t xml:space="preserve">How Costly is the TCJA? </w:t>
      </w:r>
    </w:p>
    <w:p w14:paraId="23539332" w14:textId="59715B46" w:rsidR="3A878784" w:rsidRDefault="3A878784" w:rsidP="52A2ACDF">
      <w:pPr>
        <w:pStyle w:val="paragraph"/>
        <w:spacing w:after="240" w:line="276" w:lineRule="auto"/>
        <w:rPr>
          <w:rStyle w:val="eop"/>
          <w:rFonts w:ascii="Helvetica" w:eastAsiaTheme="minorEastAsia" w:hAnsi="Helvetica" w:cs="Helvetica"/>
          <w:sz w:val="22"/>
          <w:szCs w:val="22"/>
        </w:rPr>
      </w:pPr>
      <w:r w:rsidRPr="3A878784">
        <w:rPr>
          <w:rStyle w:val="eop"/>
          <w:rFonts w:ascii="Helvetica" w:eastAsia="Helvetica" w:hAnsi="Helvetica" w:cs="Helvetica"/>
          <w:sz w:val="22"/>
          <w:szCs w:val="22"/>
        </w:rPr>
        <w:t xml:space="preserve">Since the TCJA </w:t>
      </w:r>
      <w:r w:rsidR="00CC628B">
        <w:rPr>
          <w:rStyle w:val="eop"/>
          <w:rFonts w:ascii="Helvetica" w:eastAsia="Helvetica" w:hAnsi="Helvetica" w:cs="Helvetica"/>
          <w:sz w:val="22"/>
          <w:szCs w:val="22"/>
        </w:rPr>
        <w:t>went into effect in 2018</w:t>
      </w:r>
      <w:r w:rsidR="0066222D">
        <w:rPr>
          <w:rStyle w:val="eop"/>
          <w:rFonts w:ascii="Helvetica" w:eastAsia="Helvetica" w:hAnsi="Helvetica" w:cs="Helvetica"/>
          <w:sz w:val="22"/>
          <w:szCs w:val="22"/>
        </w:rPr>
        <w:t xml:space="preserve"> it allowed tax filers to see some of the law’s </w:t>
      </w:r>
      <w:r w:rsidR="00BF4444">
        <w:rPr>
          <w:rStyle w:val="eop"/>
          <w:rFonts w:ascii="Helvetica" w:eastAsia="Helvetica" w:hAnsi="Helvetica" w:cs="Helvetica"/>
          <w:sz w:val="22"/>
          <w:szCs w:val="22"/>
        </w:rPr>
        <w:t>changes in action</w:t>
      </w:r>
      <w:r w:rsidRPr="3A878784">
        <w:rPr>
          <w:rStyle w:val="eop"/>
          <w:rFonts w:ascii="Helvetica" w:eastAsia="Helvetica" w:hAnsi="Helvetica" w:cs="Helvetica"/>
          <w:sz w:val="22"/>
          <w:szCs w:val="22"/>
        </w:rPr>
        <w:t>. The final bill is estimated to cost $1.46 trillion. Researchers estimate that the US will go into debt in the amount of approximately $1.5 trillion because of the TCJA.</w:t>
      </w:r>
      <w:r w:rsidRPr="3A878784">
        <w:rPr>
          <w:rStyle w:val="FootnoteReference"/>
          <w:rFonts w:ascii="Helvetica" w:eastAsia="Helvetica" w:hAnsi="Helvetica" w:cs="Helvetica"/>
          <w:sz w:val="22"/>
          <w:szCs w:val="22"/>
        </w:rPr>
        <w:footnoteReference w:id="55"/>
      </w:r>
      <w:r w:rsidRPr="3A878784">
        <w:rPr>
          <w:rStyle w:val="eop"/>
          <w:rFonts w:ascii="Helvetica" w:eastAsia="Helvetica" w:hAnsi="Helvetica" w:cs="Helvetica"/>
          <w:sz w:val="22"/>
          <w:szCs w:val="22"/>
        </w:rPr>
        <w:t xml:space="preserve"> </w:t>
      </w:r>
      <w:r w:rsidR="00194CFA">
        <w:rPr>
          <w:rStyle w:val="eop"/>
          <w:rFonts w:ascii="Helvetica" w:eastAsia="Helvetica" w:hAnsi="Helvetica" w:cs="Helvetica"/>
          <w:sz w:val="22"/>
          <w:szCs w:val="22"/>
        </w:rPr>
        <w:t xml:space="preserve">Some lawmakers are </w:t>
      </w:r>
      <w:r w:rsidR="00EC73A8">
        <w:rPr>
          <w:rStyle w:val="eop"/>
          <w:rFonts w:ascii="Helvetica" w:eastAsia="Helvetica" w:hAnsi="Helvetica" w:cs="Helvetica"/>
          <w:sz w:val="22"/>
          <w:szCs w:val="22"/>
        </w:rPr>
        <w:t>looking to pay for</w:t>
      </w:r>
      <w:r w:rsidR="00194CFA">
        <w:rPr>
          <w:rStyle w:val="eop"/>
          <w:rFonts w:ascii="Helvetica" w:eastAsia="Helvetica" w:hAnsi="Helvetica" w:cs="Helvetica"/>
          <w:sz w:val="22"/>
          <w:szCs w:val="22"/>
        </w:rPr>
        <w:t xml:space="preserve"> </w:t>
      </w:r>
      <w:r w:rsidR="003F1CAF">
        <w:rPr>
          <w:rStyle w:val="eop"/>
          <w:rFonts w:ascii="Helvetica" w:eastAsia="Helvetica" w:hAnsi="Helvetica" w:cs="Helvetica"/>
          <w:sz w:val="22"/>
          <w:szCs w:val="22"/>
        </w:rPr>
        <w:t xml:space="preserve">this debt by </w:t>
      </w:r>
      <w:r w:rsidR="00814EA3">
        <w:rPr>
          <w:rStyle w:val="eop"/>
          <w:rFonts w:ascii="Helvetica" w:eastAsia="Helvetica" w:hAnsi="Helvetica" w:cs="Helvetica"/>
          <w:sz w:val="22"/>
          <w:szCs w:val="22"/>
        </w:rPr>
        <w:t>cutting essential programs like Medicaid,</w:t>
      </w:r>
      <w:r w:rsidR="00AF74BD">
        <w:rPr>
          <w:rStyle w:val="eop"/>
          <w:rFonts w:ascii="Helvetica" w:eastAsia="Helvetica" w:hAnsi="Helvetica" w:cs="Helvetica"/>
          <w:sz w:val="22"/>
          <w:szCs w:val="22"/>
        </w:rPr>
        <w:t xml:space="preserve"> the Supplemental Nutrition Assistance Program (SNAP),</w:t>
      </w:r>
      <w:r w:rsidR="00814EA3">
        <w:rPr>
          <w:rStyle w:val="eop"/>
          <w:rFonts w:ascii="Helvetica" w:eastAsia="Helvetica" w:hAnsi="Helvetica" w:cs="Helvetica"/>
          <w:sz w:val="22"/>
          <w:szCs w:val="22"/>
        </w:rPr>
        <w:t xml:space="preserve"> </w:t>
      </w:r>
      <w:r w:rsidR="00AF74BD">
        <w:rPr>
          <w:rStyle w:val="eop"/>
          <w:rFonts w:ascii="Helvetica" w:eastAsia="Helvetica" w:hAnsi="Helvetica" w:cs="Helvetica"/>
          <w:sz w:val="22"/>
          <w:szCs w:val="22"/>
        </w:rPr>
        <w:t>the Child Tax Credit</w:t>
      </w:r>
      <w:r w:rsidR="000E193F">
        <w:rPr>
          <w:rStyle w:val="eop"/>
          <w:rFonts w:ascii="Helvetica" w:eastAsia="Helvetica" w:hAnsi="Helvetica" w:cs="Helvetica"/>
          <w:sz w:val="22"/>
          <w:szCs w:val="22"/>
        </w:rPr>
        <w:t xml:space="preserve"> after passing tax legislation that hurt families with low-incomes while providing a boon to the wealthiest</w:t>
      </w:r>
      <w:r w:rsidR="00442F5B">
        <w:rPr>
          <w:rStyle w:val="eop"/>
          <w:rFonts w:ascii="Helvetica" w:eastAsia="Helvetica" w:hAnsi="Helvetica" w:cs="Helvetica"/>
          <w:sz w:val="22"/>
          <w:szCs w:val="22"/>
        </w:rPr>
        <w:t xml:space="preserve">. </w:t>
      </w:r>
      <w:r w:rsidR="00F63F7C">
        <w:rPr>
          <w:rStyle w:val="eop"/>
          <w:rFonts w:ascii="Helvetica" w:eastAsia="Helvetica" w:hAnsi="Helvetica" w:cs="Helvetica"/>
          <w:sz w:val="22"/>
          <w:szCs w:val="22"/>
        </w:rPr>
        <w:t xml:space="preserve">  </w:t>
      </w:r>
      <w:r w:rsidR="007D0263">
        <w:rPr>
          <w:rStyle w:val="eop"/>
          <w:rFonts w:ascii="Helvetica" w:eastAsia="Helvetica" w:hAnsi="Helvetica" w:cs="Helvetica"/>
          <w:sz w:val="22"/>
          <w:szCs w:val="22"/>
        </w:rPr>
        <w:t xml:space="preserve"> </w:t>
      </w:r>
    </w:p>
    <w:p w14:paraId="1AA953EF" w14:textId="33917D8F" w:rsidR="3A878784" w:rsidRPr="00C546C8" w:rsidRDefault="3A878784" w:rsidP="3A878784">
      <w:pPr>
        <w:pStyle w:val="paragraph"/>
        <w:spacing w:after="120" w:line="276" w:lineRule="auto"/>
        <w:rPr>
          <w:rStyle w:val="eop"/>
          <w:rFonts w:ascii="Arial" w:eastAsia="Helvetica" w:hAnsi="Arial" w:cs="Arial"/>
          <w:color w:val="C00000"/>
          <w:sz w:val="36"/>
          <w:szCs w:val="36"/>
        </w:rPr>
      </w:pPr>
      <w:r w:rsidRPr="00C546C8">
        <w:rPr>
          <w:rStyle w:val="eop"/>
          <w:rFonts w:ascii="Arial" w:eastAsia="Helvetica" w:hAnsi="Arial" w:cs="Arial"/>
          <w:b/>
          <w:bCs/>
          <w:color w:val="C00000"/>
          <w:sz w:val="36"/>
          <w:szCs w:val="36"/>
        </w:rPr>
        <w:t>The TCJA and Racial Wealth Inequality</w:t>
      </w:r>
    </w:p>
    <w:p w14:paraId="2F96DB65" w14:textId="79379FD6" w:rsidR="3A878784" w:rsidRDefault="3A878784" w:rsidP="3A878784">
      <w:pPr>
        <w:pStyle w:val="paragraph"/>
        <w:spacing w:after="120" w:line="276" w:lineRule="auto"/>
        <w:rPr>
          <w:rStyle w:val="eop"/>
          <w:rFonts w:ascii="Helvetica" w:eastAsia="Helvetica" w:hAnsi="Helvetica" w:cs="Helvetica"/>
          <w:sz w:val="22"/>
          <w:szCs w:val="22"/>
        </w:rPr>
      </w:pPr>
      <w:r w:rsidRPr="3A878784">
        <w:rPr>
          <w:rStyle w:val="eop"/>
          <w:rFonts w:ascii="Helvetica" w:eastAsia="Helvetica" w:hAnsi="Helvetica" w:cs="Helvetica"/>
          <w:sz w:val="22"/>
          <w:szCs w:val="22"/>
        </w:rPr>
        <w:t xml:space="preserve">A </w:t>
      </w:r>
      <w:hyperlink r:id="rId27" w:history="1">
        <w:r w:rsidRPr="0034422C">
          <w:rPr>
            <w:rStyle w:val="Hyperlink"/>
            <w:rFonts w:ascii="Helvetica" w:eastAsia="Helvetica" w:hAnsi="Helvetica" w:cs="Helvetica"/>
            <w:sz w:val="22"/>
            <w:szCs w:val="22"/>
          </w:rPr>
          <w:t xml:space="preserve">2018 report from </w:t>
        </w:r>
        <w:r w:rsidR="00A83E8F" w:rsidRPr="0034422C">
          <w:rPr>
            <w:rStyle w:val="Hyperlink"/>
            <w:rFonts w:ascii="Helvetica" w:eastAsia="Helvetica" w:hAnsi="Helvetica" w:cs="Helvetica"/>
            <w:sz w:val="22"/>
            <w:szCs w:val="22"/>
          </w:rPr>
          <w:t>Prosperity Now</w:t>
        </w:r>
        <w:r w:rsidR="00590AAF" w:rsidRPr="0034422C">
          <w:rPr>
            <w:rStyle w:val="Hyperlink"/>
            <w:rFonts w:ascii="Helvetica" w:eastAsia="Helvetica" w:hAnsi="Helvetica" w:cs="Helvetica"/>
            <w:sz w:val="22"/>
            <w:szCs w:val="22"/>
          </w:rPr>
          <w:t xml:space="preserve"> and the Institute for Taxation and Economic P</w:t>
        </w:r>
        <w:r w:rsidR="00EE48F9" w:rsidRPr="0034422C">
          <w:rPr>
            <w:rStyle w:val="Hyperlink"/>
            <w:rFonts w:ascii="Helvetica" w:eastAsia="Helvetica" w:hAnsi="Helvetica" w:cs="Helvetica"/>
            <w:sz w:val="22"/>
            <w:szCs w:val="22"/>
          </w:rPr>
          <w:t>olicy</w:t>
        </w:r>
      </w:hyperlink>
      <w:r w:rsidR="00A83E8F">
        <w:rPr>
          <w:rStyle w:val="eop"/>
          <w:rFonts w:ascii="Helvetica" w:eastAsia="Helvetica" w:hAnsi="Helvetica" w:cs="Helvetica"/>
          <w:sz w:val="22"/>
          <w:szCs w:val="22"/>
        </w:rPr>
        <w:t xml:space="preserve"> </w:t>
      </w:r>
      <w:r w:rsidRPr="3A878784">
        <w:rPr>
          <w:rStyle w:val="eop"/>
          <w:rFonts w:ascii="Helvetica" w:eastAsia="Helvetica" w:hAnsi="Helvetica" w:cs="Helvetica"/>
          <w:sz w:val="22"/>
          <w:szCs w:val="22"/>
        </w:rPr>
        <w:t xml:space="preserve">lays out how the </w:t>
      </w:r>
      <w:r w:rsidRPr="3A878784">
        <w:rPr>
          <w:rFonts w:ascii="Helvetica" w:eastAsia="Helvetica" w:hAnsi="Helvetica" w:cs="Helvetica"/>
          <w:sz w:val="22"/>
          <w:szCs w:val="22"/>
        </w:rPr>
        <w:t>2017 tax law will negatively impact racial wealth disparitie</w:t>
      </w:r>
      <w:r w:rsidR="00A83E8F">
        <w:rPr>
          <w:rFonts w:ascii="Helvetica" w:eastAsia="Helvetica" w:hAnsi="Helvetica" w:cs="Helvetica"/>
          <w:sz w:val="22"/>
          <w:szCs w:val="22"/>
        </w:rPr>
        <w:t>s</w:t>
      </w:r>
      <w:r w:rsidR="007052BD">
        <w:rPr>
          <w:rFonts w:ascii="Helvetica" w:eastAsia="Helvetica" w:hAnsi="Helvetica" w:cs="Helvetica"/>
          <w:sz w:val="22"/>
          <w:szCs w:val="22"/>
        </w:rPr>
        <w:t>:</w:t>
      </w:r>
      <w:r w:rsidRPr="3A878784">
        <w:rPr>
          <w:rStyle w:val="FootnoteReference"/>
          <w:rFonts w:ascii="Helvetica" w:eastAsia="Helvetica" w:hAnsi="Helvetica" w:cs="Helvetica"/>
          <w:sz w:val="22"/>
          <w:szCs w:val="22"/>
        </w:rPr>
        <w:footnoteReference w:id="56"/>
      </w:r>
      <w:r w:rsidRPr="3A878784">
        <w:rPr>
          <w:rStyle w:val="eop"/>
          <w:rFonts w:ascii="Helvetica" w:eastAsia="Helvetica" w:hAnsi="Helvetica" w:cs="Helvetica"/>
          <w:sz w:val="22"/>
          <w:szCs w:val="22"/>
        </w:rPr>
        <w:t xml:space="preserve"> </w:t>
      </w:r>
    </w:p>
    <w:p w14:paraId="602BD606" w14:textId="054E05E5" w:rsidR="3A878784" w:rsidRPr="00EE48F9" w:rsidRDefault="00046008" w:rsidP="3A878784">
      <w:pPr>
        <w:pStyle w:val="paragraph"/>
        <w:numPr>
          <w:ilvl w:val="0"/>
          <w:numId w:val="3"/>
        </w:numPr>
        <w:spacing w:after="120" w:line="276" w:lineRule="auto"/>
        <w:rPr>
          <w:rStyle w:val="eop"/>
          <w:rFonts w:ascii="Helvetica,Calibri" w:eastAsia="Helvetica,Calibri" w:hAnsi="Helvetica,Calibri" w:cs="Helvetica,Calibri"/>
          <w:sz w:val="22"/>
          <w:szCs w:val="22"/>
        </w:rPr>
      </w:pPr>
      <w:r w:rsidRPr="00EE48F9">
        <w:rPr>
          <w:rStyle w:val="eop"/>
          <w:rFonts w:ascii="Helvetica" w:eastAsia="Helvetica" w:hAnsi="Helvetica" w:cs="Helvetica"/>
          <w:sz w:val="22"/>
          <w:szCs w:val="22"/>
        </w:rPr>
        <w:t xml:space="preserve">Eighty percent ($218 billion) of the </w:t>
      </w:r>
      <w:r w:rsidR="00B903F8" w:rsidRPr="00EE48F9">
        <w:rPr>
          <w:rStyle w:val="eop"/>
          <w:rFonts w:ascii="Helvetica" w:eastAsia="Helvetica" w:hAnsi="Helvetica" w:cs="Helvetica"/>
          <w:sz w:val="22"/>
          <w:szCs w:val="22"/>
        </w:rPr>
        <w:t xml:space="preserve">total $275 billion in tax cuts will go to </w:t>
      </w:r>
      <w:r w:rsidR="00B656BE" w:rsidRPr="00EE48F9">
        <w:rPr>
          <w:rStyle w:val="eop"/>
          <w:rFonts w:ascii="Helvetica" w:eastAsia="Helvetica" w:hAnsi="Helvetica" w:cs="Helvetica"/>
          <w:sz w:val="22"/>
          <w:szCs w:val="22"/>
        </w:rPr>
        <w:t>W</w:t>
      </w:r>
      <w:r w:rsidR="00B903F8" w:rsidRPr="00EE48F9">
        <w:rPr>
          <w:rStyle w:val="eop"/>
          <w:rFonts w:ascii="Helvetica" w:eastAsia="Helvetica" w:hAnsi="Helvetica" w:cs="Helvetica"/>
          <w:sz w:val="22"/>
          <w:szCs w:val="22"/>
        </w:rPr>
        <w:t>hite households, even though they make up 67 percent of taxpayers.</w:t>
      </w:r>
    </w:p>
    <w:p w14:paraId="4283219E" w14:textId="28C72F18" w:rsidR="00590685" w:rsidRPr="00EE48F9" w:rsidRDefault="3A878784" w:rsidP="00590685">
      <w:pPr>
        <w:pStyle w:val="paragraph"/>
        <w:numPr>
          <w:ilvl w:val="0"/>
          <w:numId w:val="3"/>
        </w:numPr>
        <w:spacing w:after="120" w:line="276" w:lineRule="auto"/>
        <w:rPr>
          <w:rStyle w:val="eop"/>
          <w:rFonts w:ascii="Helvetica" w:eastAsia="Helvetica" w:hAnsi="Helvetica" w:cs="Helvetica"/>
          <w:sz w:val="22"/>
          <w:szCs w:val="22"/>
        </w:rPr>
      </w:pPr>
      <w:r w:rsidRPr="00974063">
        <w:rPr>
          <w:rStyle w:val="eop"/>
          <w:rFonts w:ascii="Helvetica" w:eastAsia="Helvetica" w:hAnsi="Helvetica" w:cs="Helvetica"/>
          <w:sz w:val="22"/>
          <w:szCs w:val="22"/>
        </w:rPr>
        <w:t>The law primarily benefits those who already have wealth rather than creating incentives to build new wealth.</w:t>
      </w:r>
      <w:r w:rsidR="00EE41C4" w:rsidRPr="00974063">
        <w:rPr>
          <w:rStyle w:val="eop"/>
          <w:rFonts w:ascii="Helvetica" w:eastAsia="Helvetica" w:hAnsi="Helvetica" w:cs="Helvetica"/>
          <w:sz w:val="22"/>
          <w:szCs w:val="22"/>
        </w:rPr>
        <w:t xml:space="preserve"> Households of color </w:t>
      </w:r>
      <w:r w:rsidR="00BA7DBE" w:rsidRPr="00974063">
        <w:rPr>
          <w:rStyle w:val="eop"/>
          <w:rFonts w:ascii="Helvetica" w:eastAsia="Helvetica" w:hAnsi="Helvetica" w:cs="Helvetica"/>
          <w:sz w:val="22"/>
          <w:szCs w:val="22"/>
        </w:rPr>
        <w:t xml:space="preserve">with high </w:t>
      </w:r>
      <w:r w:rsidR="0077576B" w:rsidRPr="00974063">
        <w:rPr>
          <w:rStyle w:val="eop"/>
          <w:rFonts w:ascii="Helvetica" w:eastAsia="Helvetica" w:hAnsi="Helvetica" w:cs="Helvetica"/>
          <w:sz w:val="22"/>
          <w:szCs w:val="22"/>
        </w:rPr>
        <w:t>incomes still do not see a reward equivalent to their White counterpart</w:t>
      </w:r>
      <w:r w:rsidR="00675DBF" w:rsidRPr="00974063">
        <w:rPr>
          <w:rStyle w:val="eop"/>
          <w:rFonts w:ascii="Helvetica" w:eastAsia="Helvetica" w:hAnsi="Helvetica" w:cs="Helvetica"/>
          <w:sz w:val="22"/>
          <w:szCs w:val="22"/>
        </w:rPr>
        <w:t xml:space="preserve">s because they are less likely than White households to have </w:t>
      </w:r>
      <w:proofErr w:type="gramStart"/>
      <w:r w:rsidR="00BA7DBE" w:rsidRPr="00974063">
        <w:rPr>
          <w:rStyle w:val="eop"/>
          <w:rFonts w:ascii="Helvetica" w:eastAsia="Helvetica" w:hAnsi="Helvetica" w:cs="Helvetica"/>
          <w:sz w:val="22"/>
          <w:szCs w:val="22"/>
        </w:rPr>
        <w:t>a majority of</w:t>
      </w:r>
      <w:proofErr w:type="gramEnd"/>
      <w:r w:rsidR="00BA7DBE" w:rsidRPr="00974063">
        <w:rPr>
          <w:rStyle w:val="eop"/>
          <w:rFonts w:ascii="Helvetica" w:eastAsia="Helvetica" w:hAnsi="Helvetica" w:cs="Helvetica"/>
          <w:sz w:val="22"/>
          <w:szCs w:val="22"/>
        </w:rPr>
        <w:t xml:space="preserve"> their incomes from corporate stocks and investments</w:t>
      </w:r>
      <w:r w:rsidR="007052BD">
        <w:rPr>
          <w:rStyle w:val="eop"/>
          <w:rFonts w:ascii="Helvetica" w:eastAsia="Helvetica" w:hAnsi="Helvetica" w:cs="Helvetica"/>
          <w:sz w:val="22"/>
          <w:szCs w:val="22"/>
        </w:rPr>
        <w:t xml:space="preserve"> (Figure 6)</w:t>
      </w:r>
      <w:r w:rsidR="00BA7DBE" w:rsidRPr="00974063">
        <w:rPr>
          <w:rStyle w:val="eop"/>
          <w:rFonts w:ascii="Helvetica" w:eastAsia="Helvetica" w:hAnsi="Helvetica" w:cs="Helvetica"/>
          <w:sz w:val="22"/>
          <w:szCs w:val="22"/>
        </w:rPr>
        <w:t>.</w:t>
      </w:r>
    </w:p>
    <w:p w14:paraId="0A4F50D3" w14:textId="3C708767" w:rsidR="007617EA" w:rsidRPr="00EE48F9" w:rsidRDefault="003E1301" w:rsidP="00F21EAA">
      <w:pPr>
        <w:pStyle w:val="paragraph"/>
        <w:numPr>
          <w:ilvl w:val="0"/>
          <w:numId w:val="3"/>
        </w:numPr>
        <w:spacing w:after="120" w:line="276" w:lineRule="auto"/>
        <w:rPr>
          <w:rStyle w:val="eop"/>
          <w:rFonts w:ascii="Helvetica" w:eastAsia="Helvetica" w:hAnsi="Helvetica" w:cs="Helvetica"/>
          <w:sz w:val="22"/>
          <w:szCs w:val="22"/>
        </w:rPr>
      </w:pPr>
      <w:r w:rsidRPr="00C546C8">
        <w:rPr>
          <w:rStyle w:val="eop"/>
          <w:rFonts w:ascii="Helvetica" w:eastAsia="Helvetica" w:hAnsi="Helvetica" w:cs="Helvetica"/>
          <w:sz w:val="22"/>
          <w:szCs w:val="22"/>
        </w:rPr>
        <w:lastRenderedPageBreak/>
        <w:t xml:space="preserve">The richest 1 percent of households </w:t>
      </w:r>
      <w:r w:rsidR="00A044A9" w:rsidRPr="00EE48F9">
        <w:rPr>
          <w:rStyle w:val="eop"/>
          <w:rFonts w:ascii="Helvetica" w:eastAsia="Helvetica" w:hAnsi="Helvetica" w:cs="Helvetica"/>
          <w:sz w:val="22"/>
          <w:szCs w:val="22"/>
        </w:rPr>
        <w:t xml:space="preserve">(making $1.8 million per year) </w:t>
      </w:r>
      <w:r w:rsidRPr="00C546C8">
        <w:rPr>
          <w:rStyle w:val="eop"/>
          <w:rFonts w:ascii="Helvetica" w:eastAsia="Helvetica" w:hAnsi="Helvetica" w:cs="Helvetica"/>
          <w:sz w:val="22"/>
          <w:szCs w:val="22"/>
        </w:rPr>
        <w:t xml:space="preserve">will receive </w:t>
      </w:r>
      <w:r w:rsidR="00EC23B6" w:rsidRPr="00C546C8">
        <w:rPr>
          <w:rStyle w:val="eop"/>
          <w:rFonts w:ascii="Helvetica" w:eastAsia="Helvetica" w:hAnsi="Helvetica" w:cs="Helvetica"/>
          <w:sz w:val="22"/>
          <w:szCs w:val="22"/>
        </w:rPr>
        <w:t xml:space="preserve">an average tax cut of about </w:t>
      </w:r>
      <w:r w:rsidR="007617EA" w:rsidRPr="00C546C8">
        <w:rPr>
          <w:rStyle w:val="eop"/>
          <w:rFonts w:ascii="Helvetica" w:eastAsia="Helvetica" w:hAnsi="Helvetica" w:cs="Helvetica"/>
          <w:sz w:val="22"/>
          <w:szCs w:val="22"/>
        </w:rPr>
        <w:t>$47,</w:t>
      </w:r>
      <w:r w:rsidR="007617EA" w:rsidRPr="00EE48F9">
        <w:rPr>
          <w:rStyle w:val="eop"/>
          <w:rFonts w:ascii="Helvetica" w:eastAsia="Helvetica" w:hAnsi="Helvetica" w:cs="Helvetica"/>
          <w:sz w:val="22"/>
          <w:szCs w:val="22"/>
        </w:rPr>
        <w:t>000</w:t>
      </w:r>
      <w:r w:rsidR="007617EA" w:rsidRPr="007F22E5">
        <w:rPr>
          <w:rStyle w:val="eop"/>
          <w:rFonts w:ascii="Helvetica" w:eastAsia="Helvetica" w:hAnsi="Helvetica" w:cs="Helvetica"/>
          <w:sz w:val="22"/>
          <w:szCs w:val="22"/>
        </w:rPr>
        <w:t xml:space="preserve"> while </w:t>
      </w:r>
      <w:r w:rsidR="003263E0" w:rsidRPr="00EE48F9">
        <w:rPr>
          <w:rStyle w:val="eop"/>
          <w:rFonts w:ascii="Helvetica" w:eastAsia="Helvetica" w:hAnsi="Helvetica" w:cs="Helvetica"/>
          <w:sz w:val="22"/>
          <w:szCs w:val="22"/>
        </w:rPr>
        <w:t>those with the lowest incomes</w:t>
      </w:r>
      <w:r w:rsidR="00A044A9" w:rsidRPr="00EE48F9">
        <w:rPr>
          <w:rStyle w:val="eop"/>
          <w:rFonts w:ascii="Helvetica" w:eastAsia="Helvetica" w:hAnsi="Helvetica" w:cs="Helvetica"/>
          <w:sz w:val="22"/>
          <w:szCs w:val="22"/>
        </w:rPr>
        <w:t xml:space="preserve"> (making $13,000 per year)</w:t>
      </w:r>
      <w:r w:rsidR="003263E0" w:rsidRPr="00EE48F9">
        <w:rPr>
          <w:rStyle w:val="eop"/>
          <w:rFonts w:ascii="Helvetica" w:eastAsia="Helvetica" w:hAnsi="Helvetica" w:cs="Helvetica"/>
          <w:sz w:val="22"/>
          <w:szCs w:val="22"/>
        </w:rPr>
        <w:t xml:space="preserve"> will receive, on average, $90. </w:t>
      </w:r>
      <w:r w:rsidR="00856F7A" w:rsidRPr="00EE48F9">
        <w:rPr>
          <w:rStyle w:val="eop"/>
          <w:rFonts w:ascii="Helvetica" w:eastAsia="Helvetica" w:hAnsi="Helvetica" w:cs="Helvetica"/>
          <w:sz w:val="22"/>
          <w:szCs w:val="22"/>
        </w:rPr>
        <w:t>Per day, the wealthiest individuals get a larger tax cuts than the poorest</w:t>
      </w:r>
      <w:r w:rsidR="005E04BE" w:rsidRPr="00EE48F9">
        <w:rPr>
          <w:rStyle w:val="eop"/>
          <w:rFonts w:ascii="Helvetica" w:eastAsia="Helvetica" w:hAnsi="Helvetica" w:cs="Helvetica"/>
          <w:sz w:val="22"/>
          <w:szCs w:val="22"/>
        </w:rPr>
        <w:t xml:space="preserve">. </w:t>
      </w:r>
      <w:r w:rsidR="00856F7A" w:rsidRPr="00EE48F9">
        <w:rPr>
          <w:rStyle w:val="eop"/>
          <w:rFonts w:ascii="Helvetica" w:eastAsia="Helvetica" w:hAnsi="Helvetica" w:cs="Helvetica"/>
          <w:sz w:val="22"/>
          <w:szCs w:val="22"/>
        </w:rPr>
        <w:t xml:space="preserve"> </w:t>
      </w:r>
    </w:p>
    <w:p w14:paraId="55D5A929" w14:textId="41FA8742" w:rsidR="00183F65" w:rsidRPr="00EE48F9" w:rsidRDefault="00603AA6">
      <w:pPr>
        <w:pStyle w:val="paragraph"/>
        <w:numPr>
          <w:ilvl w:val="0"/>
          <w:numId w:val="3"/>
        </w:numPr>
        <w:spacing w:after="120" w:line="276" w:lineRule="auto"/>
        <w:rPr>
          <w:rStyle w:val="eop"/>
          <w:rFonts w:ascii="Helvetica" w:eastAsia="Helvetica" w:hAnsi="Helvetica" w:cs="Helvetica"/>
          <w:sz w:val="22"/>
          <w:szCs w:val="22"/>
        </w:rPr>
      </w:pPr>
      <w:r w:rsidRPr="00EE48F9">
        <w:rPr>
          <w:rStyle w:val="eop"/>
          <w:rFonts w:ascii="Helvetica" w:eastAsia="Helvetica" w:hAnsi="Helvetica" w:cs="Helvetica"/>
          <w:sz w:val="22"/>
          <w:szCs w:val="22"/>
        </w:rPr>
        <w:t xml:space="preserve">In every category White households will receive a larger tax benefit from the TCJA than Black and Latino families. </w:t>
      </w:r>
      <w:r w:rsidR="00027FE8" w:rsidRPr="00EE48F9">
        <w:rPr>
          <w:rStyle w:val="eop"/>
          <w:rFonts w:ascii="Helvetica" w:eastAsia="Helvetica" w:hAnsi="Helvetica" w:cs="Helvetica"/>
          <w:sz w:val="22"/>
          <w:szCs w:val="22"/>
        </w:rPr>
        <w:t xml:space="preserve">However, </w:t>
      </w:r>
      <w:r w:rsidRPr="00EE48F9">
        <w:rPr>
          <w:rStyle w:val="eop"/>
          <w:rFonts w:ascii="Helvetica" w:eastAsia="Helvetica" w:hAnsi="Helvetica" w:cs="Helvetica"/>
          <w:sz w:val="22"/>
          <w:szCs w:val="22"/>
        </w:rPr>
        <w:t>Asian households earning less than $23,000</w:t>
      </w:r>
      <w:r w:rsidR="00027FE8" w:rsidRPr="00EE48F9">
        <w:rPr>
          <w:rStyle w:val="eop"/>
          <w:rFonts w:ascii="Helvetica" w:eastAsia="Helvetica" w:hAnsi="Helvetica" w:cs="Helvetica"/>
          <w:sz w:val="22"/>
          <w:szCs w:val="22"/>
        </w:rPr>
        <w:t xml:space="preserve"> </w:t>
      </w:r>
      <w:r w:rsidR="00127FDB" w:rsidRPr="00EE48F9">
        <w:rPr>
          <w:rStyle w:val="eop"/>
          <w:rFonts w:ascii="Helvetica" w:eastAsia="Helvetica" w:hAnsi="Helvetica" w:cs="Helvetica"/>
          <w:sz w:val="22"/>
          <w:szCs w:val="22"/>
        </w:rPr>
        <w:t xml:space="preserve">will receive the smallest benefits of any other group </w:t>
      </w:r>
      <w:r w:rsidR="009E1A6E" w:rsidRPr="00EE48F9">
        <w:rPr>
          <w:rStyle w:val="eop"/>
          <w:rFonts w:ascii="Helvetica" w:eastAsia="Helvetica" w:hAnsi="Helvetica" w:cs="Helvetica"/>
          <w:sz w:val="22"/>
          <w:szCs w:val="22"/>
        </w:rPr>
        <w:t>within the same earning category</w:t>
      </w:r>
      <w:r w:rsidR="001E5453" w:rsidRPr="00EE48F9">
        <w:rPr>
          <w:rStyle w:val="eop"/>
          <w:rFonts w:ascii="Helvetica" w:eastAsia="Helvetica" w:hAnsi="Helvetica" w:cs="Helvetica"/>
          <w:sz w:val="22"/>
          <w:szCs w:val="22"/>
        </w:rPr>
        <w:t>,</w:t>
      </w:r>
      <w:r w:rsidR="009E1A6E" w:rsidRPr="00EE48F9">
        <w:rPr>
          <w:rStyle w:val="eop"/>
          <w:rFonts w:ascii="Helvetica" w:eastAsia="Helvetica" w:hAnsi="Helvetica" w:cs="Helvetica"/>
          <w:sz w:val="22"/>
          <w:szCs w:val="22"/>
        </w:rPr>
        <w:t xml:space="preserve"> netting just $70 per </w:t>
      </w:r>
      <w:r w:rsidR="00765D54">
        <w:rPr>
          <w:rStyle w:val="eop"/>
          <w:rFonts w:ascii="Helvetica" w:eastAsia="Helvetica" w:hAnsi="Helvetica" w:cs="Helvetica"/>
          <w:sz w:val="22"/>
          <w:szCs w:val="22"/>
        </w:rPr>
        <w:t>year</w:t>
      </w:r>
      <w:r w:rsidR="009E1A6E" w:rsidRPr="00EE48F9">
        <w:rPr>
          <w:rStyle w:val="eop"/>
          <w:rFonts w:ascii="Helvetica" w:eastAsia="Helvetica" w:hAnsi="Helvetica" w:cs="Helvetica"/>
          <w:sz w:val="22"/>
          <w:szCs w:val="22"/>
        </w:rPr>
        <w:t xml:space="preserve"> in tax benefit</w:t>
      </w:r>
      <w:r w:rsidR="00027FE8" w:rsidRPr="00EE48F9">
        <w:rPr>
          <w:rStyle w:val="eop"/>
          <w:rFonts w:ascii="Helvetica" w:eastAsia="Helvetica" w:hAnsi="Helvetica" w:cs="Helvetica"/>
          <w:sz w:val="22"/>
          <w:szCs w:val="22"/>
        </w:rPr>
        <w:t xml:space="preserve">. </w:t>
      </w:r>
    </w:p>
    <w:p w14:paraId="5AFE4F94" w14:textId="48803484" w:rsidR="3A878784" w:rsidRDefault="000F28BF" w:rsidP="00C546C8">
      <w:pPr>
        <w:pStyle w:val="paragraph"/>
        <w:spacing w:after="120" w:line="276" w:lineRule="auto"/>
        <w:ind w:left="720"/>
        <w:jc w:val="center"/>
        <w:rPr>
          <w:rStyle w:val="eop"/>
          <w:rFonts w:ascii="Helvetica" w:hAnsi="Helvetica" w:cs="Helvetica"/>
          <w:sz w:val="22"/>
          <w:szCs w:val="22"/>
        </w:rPr>
      </w:pPr>
      <w:r>
        <w:rPr>
          <w:noProof/>
        </w:rPr>
        <w:drawing>
          <wp:inline distT="0" distB="0" distL="0" distR="0" wp14:anchorId="57F84E88" wp14:editId="6BE992BE">
            <wp:extent cx="5830013" cy="2657901"/>
            <wp:effectExtent l="57150" t="57150" r="113665" b="12382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851449" cy="2667674"/>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0B6C28E" w14:textId="7A87F806" w:rsidR="00765D13" w:rsidRPr="00765D13" w:rsidRDefault="00765D13" w:rsidP="00765D13">
      <w:pPr>
        <w:pStyle w:val="paragraph"/>
        <w:spacing w:after="120" w:line="276" w:lineRule="auto"/>
        <w:jc w:val="center"/>
        <w:rPr>
          <w:rStyle w:val="eop"/>
          <w:rFonts w:ascii="Helvetica" w:eastAsia="Helvetica" w:hAnsi="Helvetica" w:cs="Helvetica"/>
          <w:color w:val="7F7F7F" w:themeColor="text1" w:themeTint="80"/>
          <w:sz w:val="22"/>
          <w:szCs w:val="22"/>
        </w:rPr>
      </w:pPr>
      <w:r w:rsidRPr="00765D13">
        <w:rPr>
          <w:rStyle w:val="eop"/>
          <w:rFonts w:ascii="Helvetica" w:eastAsia="Helvetica" w:hAnsi="Helvetica" w:cs="Helvetica"/>
          <w:color w:val="7F7F7F" w:themeColor="text1" w:themeTint="80"/>
          <w:sz w:val="22"/>
          <w:szCs w:val="22"/>
        </w:rPr>
        <w:t xml:space="preserve">Figure </w:t>
      </w:r>
      <w:r w:rsidR="00145F2B">
        <w:rPr>
          <w:rStyle w:val="eop"/>
          <w:rFonts w:ascii="Helvetica" w:eastAsia="Helvetica" w:hAnsi="Helvetica" w:cs="Helvetica"/>
          <w:color w:val="7F7F7F" w:themeColor="text1" w:themeTint="80"/>
          <w:sz w:val="22"/>
          <w:szCs w:val="22"/>
        </w:rPr>
        <w:t>5</w:t>
      </w:r>
      <w:r>
        <w:rPr>
          <w:rStyle w:val="FootnoteReference"/>
          <w:rFonts w:ascii="Helvetica" w:eastAsia="Helvetica" w:hAnsi="Helvetica" w:cs="Helvetica"/>
          <w:color w:val="7F7F7F" w:themeColor="text1" w:themeTint="80"/>
          <w:sz w:val="22"/>
          <w:szCs w:val="22"/>
        </w:rPr>
        <w:footnoteReference w:id="57"/>
      </w:r>
    </w:p>
    <w:p w14:paraId="2AE3A542" w14:textId="2C224824" w:rsidR="3A878784" w:rsidRPr="00765D13" w:rsidRDefault="3A878784" w:rsidP="52A2ACDF">
      <w:pPr>
        <w:pStyle w:val="paragraph"/>
        <w:spacing w:after="120" w:line="276" w:lineRule="auto"/>
        <w:rPr>
          <w:rStyle w:val="eop"/>
          <w:rFonts w:ascii="Helvetica" w:eastAsia="Helvetica" w:hAnsi="Helvetica" w:cs="Helvetica"/>
          <w:sz w:val="22"/>
          <w:szCs w:val="22"/>
        </w:rPr>
      </w:pPr>
      <w:r w:rsidRPr="3A878784">
        <w:rPr>
          <w:rStyle w:val="eop"/>
          <w:rFonts w:ascii="Helvetica" w:eastAsia="Helvetica" w:hAnsi="Helvetica" w:cs="Helvetica"/>
          <w:sz w:val="22"/>
          <w:szCs w:val="22"/>
        </w:rPr>
        <w:t>The 2017 tax law poses a significant threat to reducing wealth inequality and undermine</w:t>
      </w:r>
      <w:r w:rsidR="00F3243E">
        <w:rPr>
          <w:rStyle w:val="eop"/>
          <w:rFonts w:ascii="Helvetica" w:eastAsia="Helvetica" w:hAnsi="Helvetica" w:cs="Helvetica"/>
          <w:sz w:val="22"/>
          <w:szCs w:val="22"/>
        </w:rPr>
        <w:t>s</w:t>
      </w:r>
      <w:r w:rsidRPr="3A878784">
        <w:rPr>
          <w:rStyle w:val="eop"/>
          <w:rFonts w:ascii="Helvetica" w:eastAsia="Helvetica" w:hAnsi="Helvetica" w:cs="Helvetica"/>
          <w:sz w:val="22"/>
          <w:szCs w:val="22"/>
        </w:rPr>
        <w:t xml:space="preserve"> the movement to end poverty</w:t>
      </w:r>
      <w:r w:rsidR="00F3243E">
        <w:rPr>
          <w:rStyle w:val="eop"/>
          <w:rFonts w:ascii="Helvetica" w:eastAsia="Helvetica" w:hAnsi="Helvetica" w:cs="Helvetica"/>
          <w:sz w:val="22"/>
          <w:szCs w:val="22"/>
        </w:rPr>
        <w:t xml:space="preserve"> and reduce racial wealth ine</w:t>
      </w:r>
      <w:r w:rsidR="005E4F3A">
        <w:rPr>
          <w:rStyle w:val="eop"/>
          <w:rFonts w:ascii="Helvetica" w:eastAsia="Helvetica" w:hAnsi="Helvetica" w:cs="Helvetica"/>
          <w:sz w:val="22"/>
          <w:szCs w:val="22"/>
        </w:rPr>
        <w:t>q</w:t>
      </w:r>
      <w:r w:rsidR="00F3243E">
        <w:rPr>
          <w:rStyle w:val="eop"/>
          <w:rFonts w:ascii="Helvetica" w:eastAsia="Helvetica" w:hAnsi="Helvetica" w:cs="Helvetica"/>
          <w:sz w:val="22"/>
          <w:szCs w:val="22"/>
        </w:rPr>
        <w:t>uality</w:t>
      </w:r>
      <w:r w:rsidRPr="3A878784">
        <w:rPr>
          <w:rStyle w:val="eop"/>
          <w:rFonts w:ascii="Helvetica" w:eastAsia="Helvetica" w:hAnsi="Helvetica" w:cs="Helvetica"/>
          <w:sz w:val="22"/>
          <w:szCs w:val="22"/>
        </w:rPr>
        <w:t xml:space="preserve"> in the U.S. If we are serious about closing the racial wealth divide, creating </w:t>
      </w:r>
      <w:hyperlink r:id="rId29">
        <w:r w:rsidRPr="3A878784">
          <w:rPr>
            <w:rStyle w:val="Hyperlink"/>
            <w:rFonts w:ascii="Helvetica" w:eastAsia="Helvetica" w:hAnsi="Helvetica" w:cs="Helvetica"/>
            <w:sz w:val="22"/>
            <w:szCs w:val="22"/>
          </w:rPr>
          <w:t>tax policy that steers toward opportunity and equity for all Americans</w:t>
        </w:r>
      </w:hyperlink>
      <w:r w:rsidRPr="3A878784">
        <w:rPr>
          <w:rStyle w:val="eop"/>
          <w:rFonts w:ascii="Helvetica" w:eastAsia="Helvetica" w:hAnsi="Helvetica" w:cs="Helvetica"/>
          <w:sz w:val="22"/>
          <w:szCs w:val="22"/>
        </w:rPr>
        <w:t xml:space="preserve"> is necessary to address these gaping inequalities.</w:t>
      </w:r>
      <w:r w:rsidRPr="3A878784">
        <w:rPr>
          <w:rStyle w:val="FootnoteReference"/>
          <w:rFonts w:ascii="Helvetica" w:eastAsia="Helvetica" w:hAnsi="Helvetica" w:cs="Helvetica"/>
          <w:sz w:val="22"/>
          <w:szCs w:val="22"/>
        </w:rPr>
        <w:footnoteReference w:id="58"/>
      </w:r>
    </w:p>
    <w:p w14:paraId="00AF87C1" w14:textId="77777777" w:rsidR="3A878784" w:rsidRDefault="3A878784" w:rsidP="3A878784">
      <w:pPr>
        <w:pStyle w:val="paragraph"/>
        <w:spacing w:after="120" w:line="276" w:lineRule="auto"/>
        <w:jc w:val="center"/>
        <w:rPr>
          <w:rFonts w:ascii="Helvetica" w:hAnsi="Helvetica" w:cs="Helvetica"/>
          <w:sz w:val="22"/>
          <w:szCs w:val="22"/>
        </w:rPr>
      </w:pPr>
      <w:r>
        <w:rPr>
          <w:noProof/>
        </w:rPr>
        <w:lastRenderedPageBreak/>
        <w:drawing>
          <wp:inline distT="0" distB="0" distL="0" distR="0" wp14:anchorId="39B290B6" wp14:editId="5BF0F0A5">
            <wp:extent cx="5162550" cy="6680947"/>
            <wp:effectExtent l="57150" t="57150" r="114300" b="120015"/>
            <wp:docPr id="25017355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174551" cy="6696477"/>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D937CC7" w14:textId="5220A165" w:rsidR="009D70FA" w:rsidRPr="00CC6A74" w:rsidRDefault="3A878784" w:rsidP="00CC6A74">
      <w:pPr>
        <w:pStyle w:val="Caption"/>
        <w:spacing w:after="120" w:line="276" w:lineRule="auto"/>
        <w:jc w:val="center"/>
        <w:rPr>
          <w:rFonts w:ascii="Helvetica" w:eastAsia="Helvetica" w:hAnsi="Helvetica" w:cs="Helvetica"/>
          <w:i w:val="0"/>
          <w:iCs w:val="0"/>
          <w:color w:val="auto"/>
          <w:sz w:val="22"/>
          <w:szCs w:val="22"/>
        </w:rPr>
      </w:pPr>
      <w:r w:rsidRPr="3A878784">
        <w:rPr>
          <w:rFonts w:ascii="Helvetica" w:eastAsia="Helvetica" w:hAnsi="Helvetica" w:cs="Helvetica"/>
          <w:sz w:val="22"/>
          <w:szCs w:val="22"/>
        </w:rPr>
        <w:t xml:space="preserve">Figure </w:t>
      </w:r>
      <w:r w:rsidR="00145F2B">
        <w:rPr>
          <w:rFonts w:ascii="Helvetica" w:eastAsia="Helvetica" w:hAnsi="Helvetica" w:cs="Helvetica"/>
          <w:sz w:val="22"/>
          <w:szCs w:val="22"/>
        </w:rPr>
        <w:t>6</w:t>
      </w:r>
      <w:r w:rsidRPr="3A878784">
        <w:rPr>
          <w:rStyle w:val="FootnoteReference"/>
          <w:rFonts w:ascii="Helvetica" w:eastAsia="Helvetica" w:hAnsi="Helvetica" w:cs="Helvetica"/>
          <w:sz w:val="22"/>
          <w:szCs w:val="22"/>
        </w:rPr>
        <w:footnoteReference w:id="59"/>
      </w:r>
    </w:p>
    <w:p w14:paraId="3F59D00C" w14:textId="77777777" w:rsidR="00AD1243" w:rsidRDefault="009D70FA" w:rsidP="49C91CAC">
      <w:pPr>
        <w:pStyle w:val="paragraph"/>
        <w:keepNext/>
        <w:spacing w:after="120" w:line="276" w:lineRule="auto"/>
        <w:textAlignment w:val="baseline"/>
        <w:rPr>
          <w:rFonts w:ascii="Arial" w:hAnsi="Arial" w:cs="Arial"/>
          <w:b/>
          <w:bCs/>
          <w:color w:val="C00000"/>
          <w:sz w:val="36"/>
          <w:szCs w:val="36"/>
        </w:rPr>
      </w:pPr>
      <w:r>
        <w:rPr>
          <w:rFonts w:ascii="Arial" w:hAnsi="Arial" w:cs="Arial"/>
          <w:b/>
          <w:bCs/>
          <w:color w:val="C00000"/>
          <w:sz w:val="36"/>
          <w:szCs w:val="36"/>
        </w:rPr>
        <w:lastRenderedPageBreak/>
        <w:t>Knowledge Check</w:t>
      </w:r>
    </w:p>
    <w:p w14:paraId="4DEF889B" w14:textId="017FC009" w:rsidR="007642D7" w:rsidRPr="00D97F2D" w:rsidRDefault="52A2ACDF" w:rsidP="52A2ACDF">
      <w:pPr>
        <w:pStyle w:val="paragraph"/>
        <w:keepNext/>
        <w:spacing w:after="120" w:line="276" w:lineRule="auto"/>
        <w:textAlignment w:val="baseline"/>
        <w:rPr>
          <w:rFonts w:ascii="Helvetica" w:hAnsi="Helvetica" w:cs="Helvetica"/>
          <w:b/>
          <w:bCs/>
          <w:sz w:val="22"/>
          <w:szCs w:val="22"/>
        </w:rPr>
      </w:pPr>
      <w:r w:rsidRPr="52A2ACDF">
        <w:rPr>
          <w:rFonts w:ascii="Helvetica" w:hAnsi="Helvetica" w:cs="Helvetica"/>
          <w:b/>
          <w:bCs/>
          <w:sz w:val="22"/>
          <w:szCs w:val="22"/>
        </w:rPr>
        <w:t xml:space="preserve">Can you name two policies that enabled White Americans to build wealth that largely excluded people of color? </w:t>
      </w:r>
    </w:p>
    <w:p w14:paraId="46B8AB7B" w14:textId="2A84A73F" w:rsidR="007642D7" w:rsidRDefault="52A2ACDF" w:rsidP="52A2ACDF">
      <w:pPr>
        <w:pStyle w:val="paragraph"/>
        <w:keepNext/>
        <w:spacing w:after="120" w:line="276" w:lineRule="auto"/>
        <w:textAlignment w:val="baseline"/>
        <w:rPr>
          <w:rFonts w:ascii="Helvetica" w:hAnsi="Helvetica" w:cs="Helvetica"/>
          <w:sz w:val="22"/>
          <w:szCs w:val="22"/>
        </w:rPr>
      </w:pPr>
      <w:r w:rsidRPr="52A2ACDF">
        <w:rPr>
          <w:rFonts w:ascii="Helvetica" w:hAnsi="Helvetica" w:cs="Helvetica"/>
          <w:sz w:val="22"/>
          <w:szCs w:val="22"/>
        </w:rPr>
        <w:t xml:space="preserve">A: Any of these policies provided the support that allowed White families to amass wealth: Land Reversals and Land Seizures, National Housing Act, Fair Housing Administration creation, Social Security Act, Fair Labor Standards Act, G.I. Bill, Urban Renewal Projects, Subprime Mortgage Loan Lending, and the War on Drugs. </w:t>
      </w:r>
    </w:p>
    <w:p w14:paraId="7835C5D0" w14:textId="3153431C" w:rsidR="007642D7" w:rsidRPr="00D97F2D" w:rsidRDefault="00177049" w:rsidP="49C91CAC">
      <w:pPr>
        <w:pStyle w:val="paragraph"/>
        <w:keepNext/>
        <w:spacing w:after="120" w:line="276" w:lineRule="auto"/>
        <w:textAlignment w:val="baseline"/>
        <w:rPr>
          <w:rFonts w:ascii="Helvetica" w:hAnsi="Helvetica" w:cs="Helvetica"/>
          <w:b/>
          <w:bCs/>
          <w:sz w:val="22"/>
          <w:szCs w:val="22"/>
        </w:rPr>
      </w:pPr>
      <w:r w:rsidRPr="00D97F2D">
        <w:rPr>
          <w:rFonts w:ascii="Helvetica" w:hAnsi="Helvetica" w:cs="Helvetica"/>
          <w:b/>
          <w:bCs/>
          <w:sz w:val="22"/>
          <w:szCs w:val="22"/>
        </w:rPr>
        <w:t>True or false the</w:t>
      </w:r>
      <w:r w:rsidR="00F24E37" w:rsidRPr="00D97F2D">
        <w:rPr>
          <w:rFonts w:ascii="Helvetica" w:hAnsi="Helvetica" w:cs="Helvetica"/>
          <w:b/>
          <w:bCs/>
          <w:sz w:val="22"/>
          <w:szCs w:val="22"/>
        </w:rPr>
        <w:t xml:space="preserve"> </w:t>
      </w:r>
      <w:r w:rsidR="000D7C74" w:rsidRPr="00D97F2D">
        <w:rPr>
          <w:rFonts w:ascii="Helvetica" w:hAnsi="Helvetica" w:cs="Helvetica"/>
          <w:b/>
          <w:bCs/>
          <w:sz w:val="22"/>
          <w:szCs w:val="22"/>
        </w:rPr>
        <w:t xml:space="preserve">Social Security Act of 1935 </w:t>
      </w:r>
      <w:r w:rsidR="00F24E37" w:rsidRPr="00D97F2D">
        <w:rPr>
          <w:rFonts w:ascii="Helvetica" w:hAnsi="Helvetica" w:cs="Helvetica"/>
          <w:b/>
          <w:bCs/>
          <w:sz w:val="22"/>
          <w:szCs w:val="22"/>
        </w:rPr>
        <w:t xml:space="preserve">applied to all </w:t>
      </w:r>
      <w:r w:rsidR="000D7C74" w:rsidRPr="00D97F2D">
        <w:rPr>
          <w:rFonts w:ascii="Helvetica" w:hAnsi="Helvetica" w:cs="Helvetica"/>
          <w:b/>
          <w:bCs/>
          <w:sz w:val="22"/>
          <w:szCs w:val="22"/>
        </w:rPr>
        <w:t xml:space="preserve">workers in the U.S.? </w:t>
      </w:r>
      <w:r w:rsidR="00F24E37" w:rsidRPr="00D97F2D">
        <w:rPr>
          <w:rFonts w:ascii="Helvetica" w:hAnsi="Helvetica" w:cs="Helvetica"/>
          <w:b/>
          <w:bCs/>
          <w:sz w:val="22"/>
          <w:szCs w:val="22"/>
        </w:rPr>
        <w:t xml:space="preserve"> </w:t>
      </w:r>
    </w:p>
    <w:p w14:paraId="7020276A" w14:textId="6AA352F1" w:rsidR="00F24E37" w:rsidRDefault="52A2ACDF" w:rsidP="52A2ACDF">
      <w:pPr>
        <w:pStyle w:val="paragraph"/>
        <w:keepNext/>
        <w:spacing w:after="120" w:line="276" w:lineRule="auto"/>
        <w:textAlignment w:val="baseline"/>
        <w:rPr>
          <w:rFonts w:ascii="Helvetica" w:eastAsia="Helvetica" w:hAnsi="Helvetica" w:cs="Helvetica"/>
          <w:sz w:val="22"/>
          <w:szCs w:val="22"/>
        </w:rPr>
      </w:pPr>
      <w:r w:rsidRPr="52A2ACDF">
        <w:rPr>
          <w:rFonts w:ascii="Helvetica" w:hAnsi="Helvetica" w:cs="Helvetica"/>
          <w:sz w:val="22"/>
          <w:szCs w:val="22"/>
        </w:rPr>
        <w:t xml:space="preserve">A: No, this act </w:t>
      </w:r>
      <w:r w:rsidRPr="52A2ACDF">
        <w:rPr>
          <w:rFonts w:ascii="Helvetica" w:eastAsia="Helvetica" w:hAnsi="Helvetica" w:cs="Helvetica"/>
          <w:sz w:val="22"/>
          <w:szCs w:val="22"/>
        </w:rPr>
        <w:t xml:space="preserve">excluded certain domestic workers and farmers from participating in the program. African Americans mainly held these jobs, which caused the exclusion of 65 percent of African American workers from Social Security. The law was not changed to include these workers until 1954, almost two decades later. </w:t>
      </w:r>
    </w:p>
    <w:p w14:paraId="69B4F298" w14:textId="1E1C99FF" w:rsidR="00D97F2D" w:rsidRPr="00065930" w:rsidRDefault="00D95B63" w:rsidP="49C91CAC">
      <w:pPr>
        <w:pStyle w:val="paragraph"/>
        <w:keepNext/>
        <w:spacing w:after="120" w:line="276" w:lineRule="auto"/>
        <w:textAlignment w:val="baseline"/>
        <w:rPr>
          <w:rFonts w:ascii="Helvetica" w:eastAsia="Helvetica" w:hAnsi="Helvetica" w:cs="Helvetica"/>
          <w:b/>
          <w:sz w:val="22"/>
          <w:szCs w:val="22"/>
        </w:rPr>
      </w:pPr>
      <w:r w:rsidRPr="00065930">
        <w:rPr>
          <w:rFonts w:ascii="Helvetica" w:eastAsia="Helvetica" w:hAnsi="Helvetica" w:cs="Helvetica"/>
          <w:b/>
          <w:sz w:val="22"/>
          <w:szCs w:val="22"/>
        </w:rPr>
        <w:t xml:space="preserve">How did the 2017 Tax Code and Jobs Act benefit corporate interests over </w:t>
      </w:r>
      <w:r w:rsidR="00054911" w:rsidRPr="00065930">
        <w:rPr>
          <w:rFonts w:ascii="Helvetica" w:eastAsia="Helvetica" w:hAnsi="Helvetica" w:cs="Helvetica"/>
          <w:b/>
          <w:sz w:val="22"/>
          <w:szCs w:val="22"/>
        </w:rPr>
        <w:t xml:space="preserve">low- and middle-income families? </w:t>
      </w:r>
    </w:p>
    <w:p w14:paraId="31391B4A" w14:textId="45DD080A" w:rsidR="00054911" w:rsidRDefault="52A2ACDF" w:rsidP="52A2ACDF">
      <w:pPr>
        <w:pStyle w:val="paragraph"/>
        <w:keepNext/>
        <w:spacing w:after="120" w:line="276" w:lineRule="auto"/>
        <w:textAlignment w:val="baseline"/>
        <w:rPr>
          <w:rFonts w:ascii="Helvetica" w:eastAsia="Helvetica" w:hAnsi="Helvetica" w:cs="Helvetica"/>
          <w:sz w:val="22"/>
          <w:szCs w:val="22"/>
        </w:rPr>
      </w:pPr>
      <w:r w:rsidRPr="52A2ACDF">
        <w:rPr>
          <w:rFonts w:ascii="Helvetica" w:eastAsia="Helvetica" w:hAnsi="Helvetica" w:cs="Helvetica"/>
          <w:sz w:val="22"/>
          <w:szCs w:val="22"/>
        </w:rPr>
        <w:t xml:space="preserve">The 2017 legislation officially lowered corporate tax rates from 35 to 21 percent. However, corporations reported even steeper reductions, paying an average 12 percent tax rate. On the other hand, individuals only saw a .4 percent tax rate reduction overall. Finally, revisions to the Child Tax Credit benefited families with the highest incomes over those with lower incomes. </w:t>
      </w:r>
    </w:p>
    <w:p w14:paraId="22E0087F" w14:textId="1E0CA622" w:rsidR="006C48B2" w:rsidRPr="00C7759C" w:rsidRDefault="006C48B2" w:rsidP="49C91CAC">
      <w:pPr>
        <w:pStyle w:val="paragraph"/>
        <w:keepNext/>
        <w:spacing w:after="120" w:line="276" w:lineRule="auto"/>
        <w:textAlignment w:val="baseline"/>
        <w:rPr>
          <w:rFonts w:ascii="Helvetica" w:eastAsia="Helvetica" w:hAnsi="Helvetica" w:cs="Helvetica"/>
          <w:b/>
          <w:sz w:val="22"/>
          <w:szCs w:val="22"/>
        </w:rPr>
      </w:pPr>
      <w:r w:rsidRPr="00C7759C">
        <w:rPr>
          <w:rFonts w:ascii="Helvetica" w:eastAsia="Helvetica" w:hAnsi="Helvetica" w:cs="Helvetica"/>
          <w:b/>
          <w:sz w:val="22"/>
          <w:szCs w:val="22"/>
        </w:rPr>
        <w:t xml:space="preserve">What are the effects of the 2017 tax reform on the racial wealth divide? </w:t>
      </w:r>
    </w:p>
    <w:p w14:paraId="2E123508" w14:textId="48DC8E10" w:rsidR="00B371D4" w:rsidRPr="00C7759C" w:rsidRDefault="52A2ACDF" w:rsidP="52A2ACDF">
      <w:pPr>
        <w:pStyle w:val="paragraph"/>
        <w:keepNext/>
        <w:spacing w:after="120" w:line="276" w:lineRule="auto"/>
        <w:textAlignment w:val="baseline"/>
        <w:rPr>
          <w:rFonts w:ascii="Helvetica" w:eastAsia="Helvetica" w:hAnsi="Helvetica" w:cs="Helvetica"/>
          <w:sz w:val="22"/>
          <w:szCs w:val="22"/>
        </w:rPr>
      </w:pPr>
      <w:r w:rsidRPr="52A2ACDF">
        <w:rPr>
          <w:rFonts w:ascii="Helvetica" w:eastAsia="Helvetica" w:hAnsi="Helvetica" w:cs="Helvetica"/>
          <w:sz w:val="22"/>
          <w:szCs w:val="22"/>
        </w:rPr>
        <w:t xml:space="preserve">Since families of color are less likely to hold mass amounts of wealth, changes to the estate tax, corporate tax, and “pass through” business deductions mostly went to </w:t>
      </w:r>
      <w:r w:rsidR="00994E4E">
        <w:rPr>
          <w:rFonts w:ascii="Helvetica" w:eastAsia="Helvetica" w:hAnsi="Helvetica" w:cs="Helvetica"/>
          <w:sz w:val="22"/>
          <w:szCs w:val="22"/>
        </w:rPr>
        <w:t>W</w:t>
      </w:r>
      <w:r w:rsidRPr="52A2ACDF">
        <w:rPr>
          <w:rFonts w:ascii="Helvetica" w:eastAsia="Helvetica" w:hAnsi="Helvetica" w:cs="Helvetica"/>
          <w:sz w:val="22"/>
          <w:szCs w:val="22"/>
        </w:rPr>
        <w:t xml:space="preserve">hite households. Additionally, the projected decreases in revenue from the tax changes will likely decrease the labor force in the public sector, of which African Americans make up a large share putting their employment and communities at risk. </w:t>
      </w:r>
    </w:p>
    <w:sectPr w:rsidR="00B371D4" w:rsidRPr="00C7759C" w:rsidSect="00873CF7">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E7954" w14:textId="77777777" w:rsidR="00C92CD5" w:rsidRDefault="00C92CD5" w:rsidP="00192EF6">
      <w:pPr>
        <w:spacing w:after="0" w:line="240" w:lineRule="auto"/>
      </w:pPr>
      <w:r>
        <w:separator/>
      </w:r>
    </w:p>
  </w:endnote>
  <w:endnote w:type="continuationSeparator" w:id="0">
    <w:p w14:paraId="782A7072" w14:textId="77777777" w:rsidR="00C92CD5" w:rsidRDefault="00C92CD5" w:rsidP="00192EF6">
      <w:pPr>
        <w:spacing w:after="0" w:line="240" w:lineRule="auto"/>
      </w:pPr>
      <w:r>
        <w:continuationSeparator/>
      </w:r>
    </w:p>
  </w:endnote>
  <w:endnote w:type="continuationNotice" w:id="1">
    <w:p w14:paraId="28A561FE" w14:textId="77777777" w:rsidR="00C92CD5" w:rsidRDefault="00C92C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ato Regular">
    <w:altName w:val="Segoe UI"/>
    <w:charset w:val="00"/>
    <w:family w:val="auto"/>
    <w:pitch w:val="variable"/>
    <w:sig w:usb0="A00000AF" w:usb1="5000604B" w:usb2="00000000" w:usb3="00000000" w:csb0="00000093"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Calibri">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B8EEC" w14:textId="7FEE78B2" w:rsidR="00601F98" w:rsidRDefault="00601F98" w:rsidP="003C2A19">
    <w:pPr>
      <w:pStyle w:val="Footer"/>
      <w:jc w:val="right"/>
    </w:pPr>
    <w:r>
      <w:rPr>
        <w:noProof/>
      </w:rPr>
      <w:drawing>
        <wp:inline distT="0" distB="0" distL="0" distR="0" wp14:anchorId="7A994C5B" wp14:editId="04539DE3">
          <wp:extent cx="794385" cy="419100"/>
          <wp:effectExtent l="0" t="0" r="0" b="0"/>
          <wp:docPr id="1313718205" name="Picture 13" descr="P:\RESULTS Templat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94385" cy="419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D70ED" w14:textId="77777777" w:rsidR="00C92CD5" w:rsidRDefault="00C92CD5" w:rsidP="00192EF6">
      <w:pPr>
        <w:spacing w:after="0" w:line="240" w:lineRule="auto"/>
      </w:pPr>
      <w:r>
        <w:separator/>
      </w:r>
    </w:p>
  </w:footnote>
  <w:footnote w:type="continuationSeparator" w:id="0">
    <w:p w14:paraId="3D2CEA86" w14:textId="77777777" w:rsidR="00C92CD5" w:rsidRDefault="00C92CD5" w:rsidP="00192EF6">
      <w:pPr>
        <w:spacing w:after="0" w:line="240" w:lineRule="auto"/>
      </w:pPr>
      <w:r>
        <w:continuationSeparator/>
      </w:r>
    </w:p>
  </w:footnote>
  <w:footnote w:type="continuationNotice" w:id="1">
    <w:p w14:paraId="218203B4" w14:textId="77777777" w:rsidR="00C92CD5" w:rsidRDefault="00C92CD5">
      <w:pPr>
        <w:spacing w:after="0" w:line="240" w:lineRule="auto"/>
      </w:pPr>
    </w:p>
  </w:footnote>
  <w:footnote w:id="2">
    <w:p w14:paraId="7344F9CF" w14:textId="59E53BC6" w:rsidR="40DB8E3E" w:rsidRPr="0042613C" w:rsidRDefault="40DB8E3E" w:rsidP="40DB8E3E">
      <w:pPr>
        <w:pStyle w:val="FootnoteText"/>
      </w:pPr>
      <w:r w:rsidRPr="40DB8E3E">
        <w:rPr>
          <w:rStyle w:val="FootnoteReference"/>
        </w:rPr>
        <w:footnoteRef/>
      </w:r>
      <w:r>
        <w:t xml:space="preserve"> Nieves, E., and Asante-Muhammad, D., “Running in Place: Why the Racial Wealth Divide Keeps Black and Latino Families from Achieving Economic Security.” </w:t>
      </w:r>
      <w:hyperlink r:id="rId1">
        <w:r w:rsidRPr="40DB8E3E">
          <w:rPr>
            <w:rStyle w:val="Hyperlink"/>
          </w:rPr>
          <w:t>https://prosperitynow.org/files/resources/Running_in_Place_FINAL_3.2018.pdf</w:t>
        </w:r>
      </w:hyperlink>
      <w:r w:rsidR="0042613C">
        <w:rPr>
          <w:rStyle w:val="Hyperlink"/>
        </w:rPr>
        <w:t xml:space="preserve">. </w:t>
      </w:r>
      <w:r w:rsidR="0042613C">
        <w:rPr>
          <w:rStyle w:val="Hyperlink"/>
          <w:color w:val="auto"/>
          <w:u w:val="none"/>
        </w:rPr>
        <w:t xml:space="preserve">2018. </w:t>
      </w:r>
    </w:p>
  </w:footnote>
  <w:footnote w:id="3">
    <w:p w14:paraId="598DEF3E" w14:textId="1F4427A7" w:rsidR="00380334" w:rsidRDefault="00601F98" w:rsidP="00D91C13">
      <w:pPr>
        <w:pStyle w:val="FootnoteText"/>
      </w:pPr>
      <w:r>
        <w:rPr>
          <w:rStyle w:val="FootnoteReference"/>
        </w:rPr>
        <w:footnoteRef/>
      </w:r>
      <w:r w:rsidR="00FB3B33">
        <w:t xml:space="preserve">Created by Funke </w:t>
      </w:r>
      <w:r w:rsidR="0020724E">
        <w:t>Aderonmu</w:t>
      </w:r>
      <w:r w:rsidR="009F052C">
        <w:t>, adapted from:</w:t>
      </w:r>
      <w:r>
        <w:t xml:space="preserve"> Bread for the World Institute, “Racial Wealth Simulation Policy Packet.” </w:t>
      </w:r>
      <w:hyperlink r:id="rId2" w:history="1">
        <w:r w:rsidRPr="000916E0">
          <w:rPr>
            <w:rStyle w:val="Hyperlink"/>
          </w:rPr>
          <w:t>http://files.bread.org/institute/simulation/Racial-Wealth-Gap-Policy-Packet.pdf?_ga=2.159261306.1788427538.1530137179-966109393.1526321415</w:t>
        </w:r>
      </w:hyperlink>
      <w:r w:rsidR="00D91C13">
        <w:t>.</w:t>
      </w:r>
      <w:r w:rsidR="00380334">
        <w:t xml:space="preserve"> </w:t>
      </w:r>
    </w:p>
    <w:p w14:paraId="67B5ECAB" w14:textId="77777777" w:rsidR="00380334" w:rsidRDefault="00380334" w:rsidP="00D91C13">
      <w:pPr>
        <w:pStyle w:val="FootnoteText"/>
      </w:pPr>
      <w:r>
        <w:t>And,</w:t>
      </w:r>
      <w:r w:rsidR="00D91C13">
        <w:t xml:space="preserve"> “Renewing Inequality: Urban Renewal, Family Displacements and Race 1955-1966.” </w:t>
      </w:r>
      <w:hyperlink r:id="rId3" w:anchor="view=0/0/1&amp;viz=cartogram" w:history="1">
        <w:r w:rsidR="00D91C13" w:rsidRPr="000916E0">
          <w:rPr>
            <w:rStyle w:val="Hyperlink"/>
          </w:rPr>
          <w:t>https://dsl.richmond.edu/panorama/renewal/#view=0/0/1&amp;viz=cartogram</w:t>
        </w:r>
      </w:hyperlink>
      <w:r w:rsidR="00D91C13">
        <w:t>.</w:t>
      </w:r>
    </w:p>
    <w:p w14:paraId="00B11259" w14:textId="4A1E32E9" w:rsidR="00D91C13" w:rsidRDefault="00380334" w:rsidP="00D91C13">
      <w:pPr>
        <w:pStyle w:val="FootnoteText"/>
      </w:pPr>
      <w:r>
        <w:t>And,</w:t>
      </w:r>
      <w:r w:rsidR="00D91C13">
        <w:t xml:space="preserve"> </w:t>
      </w:r>
      <w:r w:rsidR="00D91C13" w:rsidRPr="003C2A19">
        <w:t xml:space="preserve">Rothstein, Richard, </w:t>
      </w:r>
      <w:r w:rsidR="00D91C13" w:rsidRPr="00F703CB">
        <w:rPr>
          <w:i/>
          <w:iCs/>
        </w:rPr>
        <w:t>Th</w:t>
      </w:r>
      <w:r w:rsidR="00D91C13" w:rsidRPr="004C46BB">
        <w:rPr>
          <w:i/>
          <w:iCs/>
        </w:rPr>
        <w:t xml:space="preserve">e Color of Law: A Forgotten History of How Our Government Segregated America. </w:t>
      </w:r>
      <w:hyperlink r:id="rId4" w:history="1">
        <w:r w:rsidR="00D91C13" w:rsidRPr="003C2A19">
          <w:rPr>
            <w:rStyle w:val="Hyperlink"/>
          </w:rPr>
          <w:t>https://www.npr.org/books/titles/526656129/the-color-of-law-a-forgotten-history-of-how-our-government-segregated-america</w:t>
        </w:r>
      </w:hyperlink>
    </w:p>
    <w:p w14:paraId="34713E2C" w14:textId="5042C4A4" w:rsidR="00601F98" w:rsidRDefault="00601F98">
      <w:pPr>
        <w:pStyle w:val="FootnoteText"/>
      </w:pPr>
    </w:p>
  </w:footnote>
  <w:footnote w:id="4">
    <w:p w14:paraId="4AC77597" w14:textId="28F87887" w:rsidR="00C238AB" w:rsidRDefault="00C238AB">
      <w:pPr>
        <w:pStyle w:val="FootnoteText"/>
      </w:pPr>
      <w:r>
        <w:rPr>
          <w:rStyle w:val="FootnoteReference"/>
        </w:rPr>
        <w:footnoteRef/>
      </w:r>
      <w:r>
        <w:t xml:space="preserve"> </w:t>
      </w:r>
      <w:r w:rsidR="007B5DCB">
        <w:t xml:space="preserve">PBS, </w:t>
      </w:r>
      <w:r w:rsidR="00F20628">
        <w:t xml:space="preserve">“Jim Crow Laws.” </w:t>
      </w:r>
      <w:hyperlink r:id="rId5" w:history="1">
        <w:r w:rsidR="00F20628">
          <w:rPr>
            <w:rStyle w:val="Hyperlink"/>
          </w:rPr>
          <w:t>https://www.pbs.org/wgbh/americanexperience/features/freedom-riders-jim-crow-laws/</w:t>
        </w:r>
      </w:hyperlink>
      <w:r w:rsidR="00F20628">
        <w:t xml:space="preserve">. </w:t>
      </w:r>
    </w:p>
  </w:footnote>
  <w:footnote w:id="5">
    <w:p w14:paraId="072DCB5D" w14:textId="41BA257B" w:rsidR="00B30B27" w:rsidRDefault="00B30B27">
      <w:pPr>
        <w:pStyle w:val="FootnoteText"/>
      </w:pPr>
      <w:r>
        <w:rPr>
          <w:rStyle w:val="FootnoteReference"/>
        </w:rPr>
        <w:footnoteRef/>
      </w:r>
      <w:r>
        <w:t xml:space="preserve"> History, “Jim Crow Laws.” </w:t>
      </w:r>
      <w:hyperlink r:id="rId6" w:history="1">
        <w:r>
          <w:rPr>
            <w:rStyle w:val="Hyperlink"/>
          </w:rPr>
          <w:t>https://www.history.com/topics/early-20th-century-us/jim-crow-laws</w:t>
        </w:r>
      </w:hyperlink>
      <w:r>
        <w:t>. 2019.</w:t>
      </w:r>
    </w:p>
  </w:footnote>
  <w:footnote w:id="6">
    <w:p w14:paraId="004A2279" w14:textId="77777777" w:rsidR="00601F98" w:rsidRPr="003C2A19" w:rsidRDefault="00601F98" w:rsidP="00721B75">
      <w:pPr>
        <w:pStyle w:val="FootnoteText"/>
      </w:pPr>
      <w:r>
        <w:rPr>
          <w:rStyle w:val="FootnoteReference"/>
        </w:rPr>
        <w:footnoteRef/>
      </w:r>
      <w:r>
        <w:t xml:space="preserve"> </w:t>
      </w:r>
      <w:r w:rsidRPr="003C2A19">
        <w:t xml:space="preserve">Rothstein, Richard, </w:t>
      </w:r>
      <w:r w:rsidRPr="6EAB5542">
        <w:rPr>
          <w:i/>
        </w:rPr>
        <w:t xml:space="preserve">The Color of Law: A Forgotten History of How Our Government Segregated America. </w:t>
      </w:r>
      <w:hyperlink r:id="rId7" w:history="1">
        <w:r w:rsidRPr="003C2A19">
          <w:rPr>
            <w:rStyle w:val="Hyperlink"/>
          </w:rPr>
          <w:t>https://www.npr.org/books/titles/526656129/the-color-of-law-a-forgotten-history-of-how-our-government-segregated-america</w:t>
        </w:r>
      </w:hyperlink>
    </w:p>
  </w:footnote>
  <w:footnote w:id="7">
    <w:p w14:paraId="37193521" w14:textId="77777777" w:rsidR="00601F98" w:rsidRPr="003C2A19" w:rsidRDefault="00601F98" w:rsidP="00721B75">
      <w:pPr>
        <w:pStyle w:val="FootnoteText"/>
      </w:pPr>
      <w:r w:rsidRPr="003C2A19">
        <w:rPr>
          <w:rStyle w:val="FootnoteReference"/>
        </w:rPr>
        <w:footnoteRef/>
      </w:r>
      <w:r w:rsidRPr="003C2A19">
        <w:t xml:space="preserve"> </w:t>
      </w:r>
      <w:proofErr w:type="spellStart"/>
      <w:r w:rsidRPr="00F819AD">
        <w:t>Justia</w:t>
      </w:r>
      <w:proofErr w:type="spellEnd"/>
      <w:r w:rsidRPr="00F819AD">
        <w:t xml:space="preserve">, “Shelley v. Kraemer” </w:t>
      </w:r>
      <w:hyperlink r:id="rId8">
        <w:r w:rsidRPr="00F819AD">
          <w:rPr>
            <w:rStyle w:val="InternetLink"/>
            <w:color w:val="4472C4" w:themeColor="accent1"/>
          </w:rPr>
          <w:t>https://supreme.justia.com/cases/federal/us/334/1/case.html</w:t>
        </w:r>
      </w:hyperlink>
    </w:p>
  </w:footnote>
  <w:footnote w:id="8">
    <w:p w14:paraId="5D17FD2B" w14:textId="77777777" w:rsidR="00601F98" w:rsidRPr="00F819AD" w:rsidRDefault="00601F98" w:rsidP="00721B75">
      <w:pPr>
        <w:pStyle w:val="FootnoteText"/>
        <w:rPr>
          <w:rFonts w:ascii="Helvetica" w:eastAsia="Helvetica" w:hAnsi="Helvetica" w:cs="Helvetica"/>
        </w:rPr>
      </w:pPr>
      <w:r w:rsidRPr="003C2A19">
        <w:rPr>
          <w:rStyle w:val="FootnoteReference"/>
        </w:rPr>
        <w:footnoteRef/>
      </w:r>
      <w:r w:rsidRPr="003C2A19">
        <w:t xml:space="preserve"> </w:t>
      </w:r>
      <w:r w:rsidRPr="00F819AD">
        <w:t xml:space="preserve">Encyclopedia of Chicago, “Blockbusting” </w:t>
      </w:r>
      <w:bookmarkStart w:id="3" w:name="_Hlk518054075"/>
      <w:r>
        <w:fldChar w:fldCharType="begin"/>
      </w:r>
      <w:r>
        <w:instrText xml:space="preserve"> HYPERLINK "http://www.encyclopedia.chicagohistory.org/pages/147.html" \h </w:instrText>
      </w:r>
      <w:r>
        <w:fldChar w:fldCharType="separate"/>
      </w:r>
      <w:r w:rsidRPr="00F819AD">
        <w:rPr>
          <w:rStyle w:val="InternetLink"/>
          <w:color w:val="4472C4" w:themeColor="accent1"/>
        </w:rPr>
        <w:t>http://www.encyclopedia.chicagohistory.org/pages/147.html</w:t>
      </w:r>
      <w:r>
        <w:rPr>
          <w:rStyle w:val="InternetLink"/>
          <w:color w:val="4472C4" w:themeColor="accent1"/>
        </w:rPr>
        <w:fldChar w:fldCharType="end"/>
      </w:r>
      <w:bookmarkEnd w:id="3"/>
      <w:r w:rsidRPr="00F819AD">
        <w:rPr>
          <w:rFonts w:ascii="Helvetica" w:eastAsia="Helvetica" w:hAnsi="Helvetica" w:cs="Helvetica"/>
          <w:color w:val="4472C4" w:themeColor="accent1"/>
        </w:rPr>
        <w:t xml:space="preserve"> </w:t>
      </w:r>
    </w:p>
  </w:footnote>
  <w:footnote w:id="9">
    <w:p w14:paraId="7C583C19" w14:textId="77777777" w:rsidR="00601F98" w:rsidRPr="003C2A19" w:rsidRDefault="00601F98" w:rsidP="00721B75">
      <w:pPr>
        <w:pStyle w:val="FootnoteText"/>
      </w:pPr>
      <w:r w:rsidRPr="003C2A19">
        <w:rPr>
          <w:rStyle w:val="FootnoteReference"/>
        </w:rPr>
        <w:footnoteRef/>
      </w:r>
      <w:r w:rsidRPr="003C2A19">
        <w:t xml:space="preserve"> BlackPast.org, “Redlining (1937-).” </w:t>
      </w:r>
      <w:bookmarkStart w:id="4" w:name="_Hlk518054094"/>
      <w:r>
        <w:fldChar w:fldCharType="begin"/>
      </w:r>
      <w:r>
        <w:instrText xml:space="preserve"> HYPERLINK "http://www.blackpast.org/aah/redlining-1937" </w:instrText>
      </w:r>
      <w:r>
        <w:fldChar w:fldCharType="separate"/>
      </w:r>
      <w:r w:rsidRPr="003C2A19">
        <w:rPr>
          <w:rStyle w:val="Hyperlink"/>
        </w:rPr>
        <w:t>http://www.blackpast.org/aah/redlining-1937</w:t>
      </w:r>
      <w:r>
        <w:rPr>
          <w:rStyle w:val="Hyperlink"/>
        </w:rPr>
        <w:fldChar w:fldCharType="end"/>
      </w:r>
      <w:bookmarkEnd w:id="4"/>
    </w:p>
  </w:footnote>
  <w:footnote w:id="10">
    <w:p w14:paraId="60069759" w14:textId="5C227F4D" w:rsidR="00601F98" w:rsidRDefault="00601F98" w:rsidP="00721B75">
      <w:pPr>
        <w:pStyle w:val="FootnoteText"/>
      </w:pPr>
      <w:r w:rsidRPr="003C2A19">
        <w:rPr>
          <w:rStyle w:val="FootnoteReference"/>
        </w:rPr>
        <w:footnoteRef/>
      </w:r>
      <w:r w:rsidR="00566798">
        <w:t>Washington Post, “</w:t>
      </w:r>
      <w:r w:rsidR="00833FC1">
        <w:t>‘</w:t>
      </w:r>
      <w:r w:rsidR="00566798">
        <w:t>Snob Zoning</w:t>
      </w:r>
      <w:r w:rsidR="00833FC1">
        <w:t xml:space="preserve">’ is Racial Housing Segregation by Another Name.” </w:t>
      </w:r>
      <w:hyperlink r:id="rId9" w:history="1">
        <w:r w:rsidR="00833FC1">
          <w:rPr>
            <w:rStyle w:val="Hyperlink"/>
          </w:rPr>
          <w:t>https://www.washingtonpost.com/news/wonk/wp/2017/09/25/snob-zoning-is-racial-housing-segregation-by-another-name/?utm_term=.6fd380a45e62</w:t>
        </w:r>
      </w:hyperlink>
      <w:r w:rsidR="00833FC1">
        <w:t xml:space="preserve">. 2017. </w:t>
      </w:r>
    </w:p>
  </w:footnote>
  <w:footnote w:id="11">
    <w:p w14:paraId="0C0CB96F" w14:textId="37FCECE0" w:rsidR="00B30B27" w:rsidRDefault="00B30B27">
      <w:pPr>
        <w:pStyle w:val="FootnoteText"/>
      </w:pPr>
      <w:r>
        <w:rPr>
          <w:rStyle w:val="FootnoteReference"/>
        </w:rPr>
        <w:footnoteRef/>
      </w:r>
      <w:r>
        <w:t xml:space="preserve"> </w:t>
      </w:r>
      <w:r w:rsidRPr="00F819AD">
        <w:t xml:space="preserve">Investopedia, “Zoning” </w:t>
      </w:r>
      <w:hyperlink r:id="rId10">
        <w:r w:rsidRPr="00F819AD">
          <w:rPr>
            <w:rStyle w:val="InternetLink"/>
            <w:color w:val="4472C4" w:themeColor="accent1"/>
          </w:rPr>
          <w:t>http://www.investopedia.com/terms/z/zoning.asp</w:t>
        </w:r>
      </w:hyperlink>
    </w:p>
  </w:footnote>
  <w:footnote w:id="12">
    <w:p w14:paraId="77E90C5E" w14:textId="3C8B522F" w:rsidR="00601F98" w:rsidRPr="00BD4FEC" w:rsidRDefault="00601F98" w:rsidP="00721B75">
      <w:pPr>
        <w:pStyle w:val="FootnoteText"/>
      </w:pPr>
      <w:r>
        <w:rPr>
          <w:rStyle w:val="FootnoteReference"/>
        </w:rPr>
        <w:footnoteRef/>
      </w:r>
      <w:r>
        <w:t xml:space="preserve"> </w:t>
      </w:r>
      <w:r w:rsidRPr="00BD4FEC">
        <w:t xml:space="preserve">NPR, “A ‘Forgotten History’ of How the US Government Segregated America.” </w:t>
      </w:r>
      <w:hyperlink r:id="rId11" w:history="1">
        <w:r w:rsidR="00974063" w:rsidRPr="009B27E7">
          <w:rPr>
            <w:rStyle w:val="Hyperlink"/>
          </w:rPr>
          <w:t>https://www.npr.org/2017/05/03/526655831/a-forgotten-history-of-how-the-u-s-government-segregated-america</w:t>
        </w:r>
      </w:hyperlink>
      <w:r w:rsidR="00974063">
        <w:t xml:space="preserve"> </w:t>
      </w:r>
    </w:p>
  </w:footnote>
  <w:footnote w:id="13">
    <w:p w14:paraId="4544501D" w14:textId="26A43B2E" w:rsidR="00057F4F" w:rsidRPr="00BD4FEC" w:rsidRDefault="00057F4F" w:rsidP="00057F4F">
      <w:pPr>
        <w:pStyle w:val="FootnoteText"/>
      </w:pPr>
      <w:r>
        <w:rPr>
          <w:rStyle w:val="FootnoteReference"/>
        </w:rPr>
        <w:footnoteRef/>
      </w:r>
      <w:r>
        <w:t xml:space="preserve"> </w:t>
      </w:r>
      <w:r w:rsidRPr="00BD4FEC">
        <w:t xml:space="preserve">NPR, “A ‘Forgotten History’ of How the US Government Segregated America.” </w:t>
      </w:r>
      <w:hyperlink r:id="rId12" w:history="1">
        <w:r w:rsidR="00974063" w:rsidRPr="009B27E7">
          <w:rPr>
            <w:rStyle w:val="Hyperlink"/>
          </w:rPr>
          <w:t>https://www.npr.org/2017/05/03/526655831/a-forgotten-history-of-how-the-u-s-government-segregated-america</w:t>
        </w:r>
      </w:hyperlink>
      <w:r w:rsidR="00974063">
        <w:t xml:space="preserve"> </w:t>
      </w:r>
    </w:p>
  </w:footnote>
  <w:footnote w:id="14">
    <w:p w14:paraId="3C02D9B8" w14:textId="5D66D20C" w:rsidR="00615AD4" w:rsidRDefault="00615AD4">
      <w:pPr>
        <w:pStyle w:val="FootnoteText"/>
      </w:pPr>
      <w:r>
        <w:rPr>
          <w:rStyle w:val="FootnoteReference"/>
        </w:rPr>
        <w:footnoteRef/>
      </w:r>
      <w:r>
        <w:t xml:space="preserve"> Miller, Johnny, “Roads to nowhere: how infrastructure built on American inequality.”</w:t>
      </w:r>
      <w:r w:rsidRPr="008F07C6">
        <w:t xml:space="preserve"> </w:t>
      </w:r>
      <w:hyperlink r:id="rId13" w:history="1">
        <w:r>
          <w:rPr>
            <w:rStyle w:val="Hyperlink"/>
          </w:rPr>
          <w:t>https://www.theguardian.com/cities/2018/feb/21/roads-nowhere-infrastructure-american-inequality</w:t>
        </w:r>
      </w:hyperlink>
      <w:r>
        <w:t xml:space="preserve">. 2018. </w:t>
      </w:r>
    </w:p>
  </w:footnote>
  <w:footnote w:id="15">
    <w:p w14:paraId="711C0D9B" w14:textId="77777777" w:rsidR="00B30B27" w:rsidRDefault="00B30B27" w:rsidP="00B30B27">
      <w:pPr>
        <w:pStyle w:val="FootnoteText"/>
      </w:pPr>
      <w:r>
        <w:rPr>
          <w:rStyle w:val="FootnoteReference"/>
        </w:rPr>
        <w:footnoteRef/>
      </w:r>
      <w:r>
        <w:t xml:space="preserve"> Semuels, Alana, “The Role of Highways in American Poverty.” </w:t>
      </w:r>
      <w:hyperlink r:id="rId14" w:history="1">
        <w:r>
          <w:rPr>
            <w:rStyle w:val="Hyperlink"/>
          </w:rPr>
          <w:t>https://www.theatlantic.com/business/archive/2016/03/role-of-highways-in-american-poverty/474282/</w:t>
        </w:r>
      </w:hyperlink>
      <w:r>
        <w:t xml:space="preserve">. 2016. </w:t>
      </w:r>
    </w:p>
    <w:p w14:paraId="4714AB8F" w14:textId="32DEADDA" w:rsidR="00B30B27" w:rsidRDefault="00B30B27">
      <w:pPr>
        <w:pStyle w:val="FootnoteText"/>
      </w:pPr>
    </w:p>
  </w:footnote>
  <w:footnote w:id="16">
    <w:p w14:paraId="347E5D8A" w14:textId="77777777" w:rsidR="00601F98" w:rsidRPr="00BD4FEC" w:rsidRDefault="00601F98" w:rsidP="00A254CC">
      <w:pPr>
        <w:pStyle w:val="FootnoteText"/>
      </w:pPr>
      <w:r w:rsidRPr="00BD4FEC">
        <w:rPr>
          <w:rStyle w:val="FootnoteReference"/>
        </w:rPr>
        <w:footnoteRef/>
      </w:r>
      <w:r w:rsidRPr="00BD4FEC">
        <w:t xml:space="preserve"> </w:t>
      </w:r>
      <w:r w:rsidRPr="005C71B4">
        <w:t>U.S. Department of Housing and Urban Development, “The Fair Housing Act”</w:t>
      </w:r>
      <w:r w:rsidRPr="00BD4FEC">
        <w:rPr>
          <w:rFonts w:cs="Helvetica"/>
        </w:rPr>
        <w:br/>
      </w:r>
      <w:hyperlink r:id="rId15">
        <w:r w:rsidRPr="005C71B4">
          <w:rPr>
            <w:rStyle w:val="InternetLink"/>
            <w:color w:val="4472C4" w:themeColor="accent1"/>
          </w:rPr>
          <w:t>https://portal.hud.gov/hudportal/HUD?src=/program_offices/fair_housing_equal_opp/progdesc/title</w:t>
        </w:r>
        <w:r w:rsidRPr="00C546C8">
          <w:rPr>
            <w:rStyle w:val="InternetLink"/>
            <w:color w:val="4472C4" w:themeColor="accent1"/>
          </w:rPr>
          <w:t>8</w:t>
        </w:r>
      </w:hyperlink>
      <w:r w:rsidRPr="00C546C8">
        <w:rPr>
          <w:rFonts w:ascii="Times New Roman" w:eastAsia="Times New Roman" w:hAnsi="Times New Roman" w:cs="Times New Roman"/>
          <w:color w:val="4472C4" w:themeColor="accent1"/>
        </w:rPr>
        <w:t xml:space="preserve"> </w:t>
      </w:r>
    </w:p>
  </w:footnote>
  <w:footnote w:id="17">
    <w:p w14:paraId="1712E58C" w14:textId="3A3BD13C" w:rsidR="002C2B53" w:rsidRDefault="002C2B53">
      <w:pPr>
        <w:pStyle w:val="FootnoteText"/>
      </w:pPr>
      <w:r>
        <w:rPr>
          <w:rStyle w:val="FootnoteReference"/>
        </w:rPr>
        <w:footnoteRef/>
      </w:r>
      <w:r>
        <w:t xml:space="preserve"> Inequality.org, “</w:t>
      </w:r>
      <w:r w:rsidR="00DE2EC8">
        <w:t xml:space="preserve">Wealth Inequality in the United States.” </w:t>
      </w:r>
      <w:hyperlink r:id="rId16" w:history="1">
        <w:r w:rsidR="00DE2EC8">
          <w:rPr>
            <w:rStyle w:val="Hyperlink"/>
          </w:rPr>
          <w:t>https://inequality.org/facts/wealth-inequality/</w:t>
        </w:r>
      </w:hyperlink>
      <w:r w:rsidR="00DE2EC8">
        <w:t xml:space="preserve">. </w:t>
      </w:r>
    </w:p>
  </w:footnote>
  <w:footnote w:id="18">
    <w:p w14:paraId="46C0ACB1" w14:textId="2F8BFFCB" w:rsidR="005A3262" w:rsidRDefault="005A3262">
      <w:pPr>
        <w:pStyle w:val="FootnoteText"/>
      </w:pPr>
      <w:r>
        <w:rPr>
          <w:rStyle w:val="FootnoteReference"/>
        </w:rPr>
        <w:footnoteRef/>
      </w:r>
      <w:r>
        <w:t xml:space="preserve"> Reardon, S., Bischoff, K., “Growth in the </w:t>
      </w:r>
      <w:r w:rsidR="006436CA">
        <w:t>Residential</w:t>
      </w:r>
      <w:r>
        <w:t xml:space="preserve"> </w:t>
      </w:r>
      <w:r w:rsidR="006436CA">
        <w:t>Segregation</w:t>
      </w:r>
      <w:r>
        <w:t xml:space="preserve"> of Families by Income, 1970-2009.”</w:t>
      </w:r>
      <w:r w:rsidRPr="005A3262">
        <w:t xml:space="preserve"> </w:t>
      </w:r>
      <w:hyperlink r:id="rId17" w:history="1">
        <w:r>
          <w:rPr>
            <w:rStyle w:val="Hyperlink"/>
          </w:rPr>
          <w:t>https://s4.ad.brown.edu/Projects/Diversity/Data/Report/report111111.pdf</w:t>
        </w:r>
      </w:hyperlink>
      <w:r>
        <w:t xml:space="preserve">. 2011. </w:t>
      </w:r>
    </w:p>
  </w:footnote>
  <w:footnote w:id="19">
    <w:p w14:paraId="7DD14F00" w14:textId="022E3B43" w:rsidR="004C0502" w:rsidRDefault="004C0502">
      <w:pPr>
        <w:pStyle w:val="FootnoteText"/>
      </w:pPr>
      <w:r>
        <w:rPr>
          <w:rStyle w:val="FootnoteReference"/>
        </w:rPr>
        <w:footnoteRef/>
      </w:r>
      <w:r>
        <w:t xml:space="preserve"> Chang, A., “The data proves that school segregation is getting worse.” </w:t>
      </w:r>
      <w:hyperlink r:id="rId18" w:history="1">
        <w:r w:rsidR="00B768AD">
          <w:rPr>
            <w:rStyle w:val="Hyperlink"/>
          </w:rPr>
          <w:t>https://www.vox.com/2018/3/5/17080218/school-segregation-getting-worse-data</w:t>
        </w:r>
      </w:hyperlink>
      <w:r w:rsidR="00B768AD">
        <w:t>. 2018.</w:t>
      </w:r>
    </w:p>
  </w:footnote>
  <w:footnote w:id="20">
    <w:p w14:paraId="17BEB2D8" w14:textId="5C7D90D0" w:rsidR="00B768AD" w:rsidRDefault="00B768AD">
      <w:pPr>
        <w:pStyle w:val="FootnoteText"/>
      </w:pPr>
      <w:r>
        <w:rPr>
          <w:rStyle w:val="FootnoteReference"/>
        </w:rPr>
        <w:footnoteRef/>
      </w:r>
      <w:r>
        <w:t xml:space="preserve"> </w:t>
      </w:r>
      <w:proofErr w:type="spellStart"/>
      <w:r>
        <w:t>Litch</w:t>
      </w:r>
      <w:r w:rsidR="00A82F63">
        <w:t>ter</w:t>
      </w:r>
      <w:proofErr w:type="spellEnd"/>
      <w:r w:rsidR="00A82F63">
        <w:t xml:space="preserve">, D., </w:t>
      </w:r>
      <w:proofErr w:type="spellStart"/>
      <w:r w:rsidR="00A82F63">
        <w:t>Parisi</w:t>
      </w:r>
      <w:proofErr w:type="spellEnd"/>
      <w:r w:rsidR="00A82F63">
        <w:t xml:space="preserve">, D., </w:t>
      </w:r>
      <w:proofErr w:type="spellStart"/>
      <w:r w:rsidR="00A82F63">
        <w:t>Taquino</w:t>
      </w:r>
      <w:proofErr w:type="spellEnd"/>
      <w:r w:rsidR="00A82F63">
        <w:t xml:space="preserve">, M., “Toward a New Macro-Segregation? </w:t>
      </w:r>
      <w:r w:rsidR="000324AF">
        <w:t>Decomposing</w:t>
      </w:r>
      <w:r w:rsidR="00A82F63">
        <w:t xml:space="preserve"> Segregation within and between Metropolitan Cities and Suburbs.” </w:t>
      </w:r>
      <w:hyperlink r:id="rId19" w:history="1">
        <w:r w:rsidR="000324AF">
          <w:rPr>
            <w:rStyle w:val="Hyperlink"/>
          </w:rPr>
          <w:t>https://journals.sagepub.com/doi/full/10.1177/0003122415588558</w:t>
        </w:r>
      </w:hyperlink>
      <w:r w:rsidR="000324AF">
        <w:t xml:space="preserve">. 2015. </w:t>
      </w:r>
    </w:p>
  </w:footnote>
  <w:footnote w:id="21">
    <w:p w14:paraId="4A0F1E83" w14:textId="7634EA0B" w:rsidR="001A21E0" w:rsidRDefault="001A21E0">
      <w:pPr>
        <w:pStyle w:val="FootnoteText"/>
      </w:pPr>
      <w:r>
        <w:rPr>
          <w:rStyle w:val="FootnoteReference"/>
        </w:rPr>
        <w:footnoteRef/>
      </w:r>
      <w:r>
        <w:t xml:space="preserve"> Brookings Institution, “The Devaluation of Assets in Black Neighborhoods.” </w:t>
      </w:r>
      <w:hyperlink r:id="rId20" w:history="1">
        <w:r>
          <w:rPr>
            <w:rStyle w:val="Hyperlink"/>
          </w:rPr>
          <w:t>https://www.brookings.edu/research/devaluation-of-assets-in-black-neighborhoods/</w:t>
        </w:r>
      </w:hyperlink>
      <w:r>
        <w:t xml:space="preserve">. 2018. </w:t>
      </w:r>
    </w:p>
  </w:footnote>
  <w:footnote w:id="22">
    <w:p w14:paraId="428C6696" w14:textId="574711E4" w:rsidR="00601F98" w:rsidRPr="00F819AD" w:rsidRDefault="00601F98" w:rsidP="00721B75">
      <w:pPr>
        <w:pStyle w:val="FootnoteText"/>
        <w:rPr>
          <w:rFonts w:ascii="Helvetica" w:eastAsia="Helvetica" w:hAnsi="Helvetica" w:cs="Helvetica"/>
          <w:color w:val="4472C4" w:themeColor="accent1"/>
          <w:u w:val="single"/>
        </w:rPr>
      </w:pPr>
      <w:r w:rsidRPr="00BD4FEC">
        <w:rPr>
          <w:rStyle w:val="FootnoteReference"/>
        </w:rPr>
        <w:footnoteRef/>
      </w:r>
      <w:r w:rsidRPr="00BD4FEC">
        <w:t xml:space="preserve"> </w:t>
      </w:r>
      <w:r w:rsidRPr="00F819AD">
        <w:t xml:space="preserve">Economic Policy Institute, “Modern Segregation” </w:t>
      </w:r>
      <w:hyperlink r:id="rId21">
        <w:r w:rsidRPr="00F819AD">
          <w:rPr>
            <w:rStyle w:val="InternetLink"/>
            <w:color w:val="4472C4" w:themeColor="accent1"/>
          </w:rPr>
          <w:t>https://www.epi.org/publication/modern-segregation/</w:t>
        </w:r>
      </w:hyperlink>
    </w:p>
  </w:footnote>
  <w:footnote w:id="23">
    <w:p w14:paraId="33633589" w14:textId="0590BF2F" w:rsidR="005E1288" w:rsidRDefault="00451CE8">
      <w:pPr>
        <w:pStyle w:val="FootnoteText"/>
      </w:pPr>
      <w:r>
        <w:rPr>
          <w:rStyle w:val="FootnoteReference"/>
        </w:rPr>
        <w:footnoteRef/>
      </w:r>
      <w:r>
        <w:t xml:space="preserve"> Retsinas, N., Belsky, E., </w:t>
      </w:r>
      <w:r w:rsidR="005E1288" w:rsidRPr="00C546C8">
        <w:rPr>
          <w:i/>
        </w:rPr>
        <w:t>Revisiting</w:t>
      </w:r>
      <w:r w:rsidR="00112E1C" w:rsidRPr="00C546C8">
        <w:rPr>
          <w:i/>
        </w:rPr>
        <w:t xml:space="preserve"> Rental Housing: Policies, Programs, and Priorities. </w:t>
      </w:r>
      <w:hyperlink r:id="rId22" w:history="1">
        <w:r w:rsidR="00112E1C">
          <w:rPr>
            <w:rStyle w:val="Hyperlink"/>
          </w:rPr>
          <w:t>http://link.library.mst.edu/portal/Revisiting-rental-housing--policies-programs/cCQC5nEQLHA/</w:t>
        </w:r>
      </w:hyperlink>
      <w:r w:rsidR="00112E1C">
        <w:t xml:space="preserve">. </w:t>
      </w:r>
    </w:p>
  </w:footnote>
  <w:footnote w:id="24">
    <w:p w14:paraId="5489EC0D" w14:textId="29266BC4" w:rsidR="00B30B27" w:rsidRDefault="00B30B27">
      <w:pPr>
        <w:pStyle w:val="FootnoteText"/>
      </w:pPr>
      <w:r>
        <w:rPr>
          <w:rStyle w:val="FootnoteReference"/>
        </w:rPr>
        <w:footnoteRef/>
      </w:r>
      <w:r>
        <w:t xml:space="preserve"> U.S. Department of Housing and Urban Development, “Understanding Neighborhood Effects of Concentrated Poverty.”</w:t>
      </w:r>
      <w:r w:rsidRPr="009A57DB">
        <w:t xml:space="preserve"> </w:t>
      </w:r>
      <w:hyperlink r:id="rId23" w:history="1">
        <w:r>
          <w:rPr>
            <w:rStyle w:val="Hyperlink"/>
          </w:rPr>
          <w:t>https://www.huduser.gov/portal/periodicals/em/winter11/highlight2.html</w:t>
        </w:r>
      </w:hyperlink>
      <w:r>
        <w:t>.</w:t>
      </w:r>
    </w:p>
  </w:footnote>
  <w:footnote w:id="25">
    <w:p w14:paraId="23FD850C" w14:textId="77777777" w:rsidR="00314483" w:rsidRPr="00BD4FEC" w:rsidRDefault="00314483" w:rsidP="00314483">
      <w:pPr>
        <w:pStyle w:val="FootnoteText"/>
      </w:pPr>
      <w:r w:rsidRPr="00BD4FEC">
        <w:rPr>
          <w:rStyle w:val="FootnoteReference"/>
        </w:rPr>
        <w:footnoteRef/>
      </w:r>
      <w:r w:rsidRPr="00BD4FEC">
        <w:t xml:space="preserve"> Prosperity Now, “The Ever-Growing Gap: Without Change African American and Latino Families Won’t Match White Wealth for Centuries.” </w:t>
      </w:r>
      <w:hyperlink r:id="rId24" w:history="1">
        <w:r w:rsidRPr="00BD4FEC">
          <w:rPr>
            <w:rStyle w:val="Hyperlink"/>
          </w:rPr>
          <w:t>https://prosperitynow.org/files/resources/The_Ever_Growing_Gap-CFED_IPS-Final.pdf</w:t>
        </w:r>
      </w:hyperlink>
    </w:p>
  </w:footnote>
  <w:footnote w:id="26">
    <w:p w14:paraId="4FE5DD6C" w14:textId="77777777" w:rsidR="00314483" w:rsidRDefault="00314483" w:rsidP="00314483">
      <w:pPr>
        <w:pStyle w:val="FootnoteText"/>
      </w:pPr>
      <w:r w:rsidRPr="00BD4FEC">
        <w:rPr>
          <w:rStyle w:val="FootnoteReference"/>
        </w:rPr>
        <w:footnoteRef/>
      </w:r>
      <w:r w:rsidRPr="00BD4FEC">
        <w:t xml:space="preserve"> History.com, “The G.I. Bill.” </w:t>
      </w:r>
      <w:hyperlink r:id="rId25" w:history="1">
        <w:r w:rsidRPr="00BD4FEC">
          <w:rPr>
            <w:rStyle w:val="Hyperlink"/>
          </w:rPr>
          <w:t>https://www.history.com/topics/world-war-ii/gi-bill</w:t>
        </w:r>
      </w:hyperlink>
    </w:p>
  </w:footnote>
  <w:footnote w:id="27">
    <w:p w14:paraId="406C5DB0" w14:textId="77777777" w:rsidR="00314483" w:rsidRDefault="00314483" w:rsidP="00314483">
      <w:pPr>
        <w:pStyle w:val="FootnoteText"/>
      </w:pPr>
      <w:r>
        <w:rPr>
          <w:rStyle w:val="FootnoteReference"/>
        </w:rPr>
        <w:footnoteRef/>
      </w:r>
      <w:r>
        <w:t xml:space="preserve"> Thirteen.org, “The Rise and Fall of Jim Crow.” </w:t>
      </w:r>
      <w:hyperlink r:id="rId26" w:history="1">
        <w:r w:rsidRPr="004513DA">
          <w:rPr>
            <w:rStyle w:val="Hyperlink"/>
          </w:rPr>
          <w:t>https://www.thirteen.org/wnet/jimcrow/</w:t>
        </w:r>
      </w:hyperlink>
    </w:p>
  </w:footnote>
  <w:footnote w:id="28">
    <w:p w14:paraId="18530088" w14:textId="77777777" w:rsidR="00314483" w:rsidRDefault="00314483" w:rsidP="00314483">
      <w:pPr>
        <w:pStyle w:val="FootnoteText"/>
      </w:pPr>
      <w:r>
        <w:rPr>
          <w:rStyle w:val="FootnoteReference"/>
        </w:rPr>
        <w:footnoteRef/>
      </w:r>
      <w:r>
        <w:t xml:space="preserve"> Bread for the World Institute, “Racial Wealth Gap Learning Simulation Policy Packet.” </w:t>
      </w:r>
      <w:hyperlink r:id="rId27" w:history="1">
        <w:r w:rsidRPr="004513DA">
          <w:rPr>
            <w:rStyle w:val="Hyperlink"/>
          </w:rPr>
          <w:t>http://files.bread.org/institute/simulation/Racial-Wealth-Gap-Policy-Packet.pdf?_ga=2.69274064.1789669477.1529015002-1546765189.1521134376</w:t>
        </w:r>
      </w:hyperlink>
    </w:p>
  </w:footnote>
  <w:footnote w:id="29">
    <w:p w14:paraId="434821D8" w14:textId="77777777" w:rsidR="00314483" w:rsidRDefault="00314483" w:rsidP="00314483">
      <w:pPr>
        <w:pStyle w:val="FootnoteText"/>
      </w:pPr>
      <w:r>
        <w:rPr>
          <w:rStyle w:val="FootnoteReference"/>
        </w:rPr>
        <w:footnoteRef/>
      </w:r>
      <w:r>
        <w:t xml:space="preserve"> Kochhar, R. and Fry, R., “Wealth Inequality Has Widened Along Racial, Ethnic Lines Since End of Great Recession.” </w:t>
      </w:r>
      <w:hyperlink r:id="rId28" w:history="1">
        <w:r w:rsidRPr="004513DA">
          <w:rPr>
            <w:rStyle w:val="Hyperlink"/>
          </w:rPr>
          <w:t>http://www.pewresearch.org/fact-tank/2014/12/12/racial-wealth-gaps-great-recession/</w:t>
        </w:r>
      </w:hyperlink>
    </w:p>
    <w:p w14:paraId="41473D66" w14:textId="77777777" w:rsidR="00314483" w:rsidRDefault="00314483" w:rsidP="00314483">
      <w:pPr>
        <w:pStyle w:val="FootnoteText"/>
      </w:pPr>
    </w:p>
  </w:footnote>
  <w:footnote w:id="30">
    <w:p w14:paraId="3C05415C" w14:textId="74A6678A" w:rsidR="00910C9B" w:rsidRDefault="00910C9B">
      <w:pPr>
        <w:pStyle w:val="FootnoteText"/>
      </w:pPr>
      <w:r>
        <w:rPr>
          <w:rStyle w:val="FootnoteReference"/>
        </w:rPr>
        <w:footnoteRef/>
      </w:r>
      <w:r>
        <w:t xml:space="preserve"> Brookings Institution</w:t>
      </w:r>
      <w:r w:rsidR="00703281">
        <w:t xml:space="preserve">, “Racial Wealth Inequality: Social Problems and Solutions.” </w:t>
      </w:r>
      <w:hyperlink r:id="rId29" w:history="1">
        <w:r w:rsidR="00CD1AA3">
          <w:rPr>
            <w:rStyle w:val="Hyperlink"/>
          </w:rPr>
          <w:t>https://www.brookings.edu/events/racial-wealth-inequality-social-problems-and-solutions/</w:t>
        </w:r>
      </w:hyperlink>
      <w:r w:rsidR="00CD1AA3">
        <w:t>. 2019.</w:t>
      </w:r>
    </w:p>
  </w:footnote>
  <w:footnote w:id="31">
    <w:p w14:paraId="3E0FBB59" w14:textId="37441DA1" w:rsidR="003F67E4" w:rsidRDefault="003F67E4">
      <w:pPr>
        <w:pStyle w:val="FootnoteText"/>
      </w:pPr>
      <w:r>
        <w:rPr>
          <w:rStyle w:val="FootnoteReference"/>
        </w:rPr>
        <w:footnoteRef/>
      </w:r>
      <w:r>
        <w:t xml:space="preserve"> </w:t>
      </w:r>
      <w:proofErr w:type="spellStart"/>
      <w:r w:rsidR="00643326">
        <w:t>Mellnik</w:t>
      </w:r>
      <w:proofErr w:type="spellEnd"/>
      <w:r w:rsidR="00643326">
        <w:t xml:space="preserve">, T., </w:t>
      </w:r>
      <w:proofErr w:type="spellStart"/>
      <w:r w:rsidR="00643326">
        <w:t>Camerson</w:t>
      </w:r>
      <w:proofErr w:type="spellEnd"/>
      <w:r w:rsidR="00643326">
        <w:t>, D., Lu, D.,</w:t>
      </w:r>
      <w:r w:rsidR="003D7D1C">
        <w:t xml:space="preserve"> Badger, E., Downs, K., “American’s Great Housing Divide: Are You a Winner or Loser?” </w:t>
      </w:r>
      <w:r w:rsidR="00BE014F">
        <w:t xml:space="preserve">Washington Post. </w:t>
      </w:r>
      <w:hyperlink r:id="rId30" w:history="1">
        <w:r w:rsidR="00BE014F">
          <w:rPr>
            <w:rStyle w:val="Hyperlink"/>
          </w:rPr>
          <w:t>https://www.washingtonpost.com/graphics/business/wonk/housing/overview/</w:t>
        </w:r>
      </w:hyperlink>
      <w:r w:rsidR="00BE014F">
        <w:t xml:space="preserve">. 2016. </w:t>
      </w:r>
    </w:p>
  </w:footnote>
  <w:footnote w:id="32">
    <w:p w14:paraId="7B8938E1" w14:textId="6872418A" w:rsidR="000449E3" w:rsidRDefault="000449E3">
      <w:pPr>
        <w:pStyle w:val="FootnoteText"/>
      </w:pPr>
      <w:r>
        <w:rPr>
          <w:rStyle w:val="FootnoteReference"/>
        </w:rPr>
        <w:footnoteRef/>
      </w:r>
      <w:r w:rsidR="00FA215B">
        <w:t xml:space="preserve">The Federal Reserve Bank of St. Louis, </w:t>
      </w:r>
      <w:r w:rsidR="00FA215B" w:rsidRPr="00C546C8">
        <w:rPr>
          <w:i/>
        </w:rPr>
        <w:t>The Demographics of Wealth 2018 Series</w:t>
      </w:r>
      <w:r w:rsidR="00EA2864">
        <w:rPr>
          <w:i/>
        </w:rPr>
        <w:t>:</w:t>
      </w:r>
      <w:r w:rsidR="00EA2864" w:rsidRPr="00C546C8">
        <w:rPr>
          <w:i/>
        </w:rPr>
        <w:t xml:space="preserve"> How Education, Race and Birth Year Shape Financial Outcomes</w:t>
      </w:r>
      <w:r w:rsidR="00EA2864">
        <w:t xml:space="preserve">. “A Lost Generation? Long-Lasting Wealth Impacts of the Great Recession on Young Families.” </w:t>
      </w:r>
      <w:hyperlink r:id="rId31" w:history="1">
        <w:r w:rsidR="00EA2864">
          <w:rPr>
            <w:rStyle w:val="Hyperlink"/>
          </w:rPr>
          <w:t>https://www.stlouisfed.org/~/media/files/pdfs/hfs/essays/hfs_essay_2_2018.pdf?la=en</w:t>
        </w:r>
      </w:hyperlink>
      <w:r w:rsidR="00EA2864">
        <w:t xml:space="preserve">. 2018. </w:t>
      </w:r>
    </w:p>
  </w:footnote>
  <w:footnote w:id="33">
    <w:p w14:paraId="69FF11FE" w14:textId="006F031A" w:rsidR="00A207EC" w:rsidRDefault="00A207EC">
      <w:pPr>
        <w:pStyle w:val="FootnoteText"/>
      </w:pPr>
      <w:r>
        <w:rPr>
          <w:rStyle w:val="FootnoteReference"/>
        </w:rPr>
        <w:footnoteRef/>
      </w:r>
      <w:r>
        <w:t xml:space="preserve"> Schwartz, N., “The Recovery Threw the </w:t>
      </w:r>
      <w:proofErr w:type="gramStart"/>
      <w:r>
        <w:t>Middle Class</w:t>
      </w:r>
      <w:proofErr w:type="gramEnd"/>
      <w:r>
        <w:t xml:space="preserve"> Dream Under a Benz.” </w:t>
      </w:r>
      <w:hyperlink r:id="rId32" w:history="1">
        <w:r>
          <w:rPr>
            <w:rStyle w:val="Hyperlink"/>
          </w:rPr>
          <w:t>https://www.nytimes.com/2018/09/12/business/middle-class-financial-crisis.html</w:t>
        </w:r>
      </w:hyperlink>
      <w:r>
        <w:t>. 2018.</w:t>
      </w:r>
    </w:p>
  </w:footnote>
  <w:footnote w:id="34">
    <w:p w14:paraId="1D88693D" w14:textId="3BB41997" w:rsidR="3A878784" w:rsidRDefault="3A878784" w:rsidP="3A878784">
      <w:pPr>
        <w:pStyle w:val="FootnoteText"/>
      </w:pPr>
      <w:r w:rsidRPr="3A878784">
        <w:rPr>
          <w:rStyle w:val="FootnoteReference"/>
        </w:rPr>
        <w:footnoteRef/>
      </w:r>
      <w:r>
        <w:t xml:space="preserve"> Prosperity Now, “Wealth Building for the Wealthy through the Tax Code Continues as Families of Color Fall Farther Behind.” </w:t>
      </w:r>
      <w:hyperlink r:id="rId33">
        <w:r w:rsidRPr="3A878784">
          <w:rPr>
            <w:rStyle w:val="Hyperlink"/>
          </w:rPr>
          <w:t>https://prosperitynow.org/blog/wealth-building-wealthy-through-tax-code-continues-families-color-fall-further-behind</w:t>
        </w:r>
      </w:hyperlink>
    </w:p>
  </w:footnote>
  <w:footnote w:id="35">
    <w:p w14:paraId="093909E9" w14:textId="6336FCA4" w:rsidR="000062AB" w:rsidRDefault="000062AB">
      <w:pPr>
        <w:pStyle w:val="FootnoteText"/>
      </w:pPr>
      <w:r>
        <w:rPr>
          <w:rStyle w:val="FootnoteReference"/>
        </w:rPr>
        <w:footnoteRef/>
      </w:r>
      <w:r>
        <w:t xml:space="preserve"> RESULTS, “2019 International Conference Resources.” </w:t>
      </w:r>
      <w:hyperlink r:id="rId34" w:history="1">
        <w:r>
          <w:rPr>
            <w:rStyle w:val="Hyperlink"/>
          </w:rPr>
          <w:t>https://results.org/resources/2019-international-conference-resources/</w:t>
        </w:r>
      </w:hyperlink>
      <w:r>
        <w:rPr>
          <w:rStyle w:val="Hyperlink"/>
        </w:rPr>
        <w:t xml:space="preserve">. </w:t>
      </w:r>
    </w:p>
  </w:footnote>
  <w:footnote w:id="36">
    <w:p w14:paraId="09314E31" w14:textId="77777777" w:rsidR="00F300F4" w:rsidRDefault="00F300F4" w:rsidP="00F300F4">
      <w:pPr>
        <w:pStyle w:val="FootnoteText"/>
      </w:pPr>
      <w:r w:rsidRPr="3A878784">
        <w:rPr>
          <w:rStyle w:val="FootnoteReference"/>
        </w:rPr>
        <w:footnoteRef/>
      </w:r>
      <w:r>
        <w:t xml:space="preserve"> Investopedia, “Mortgage Interest Deduction.” </w:t>
      </w:r>
      <w:hyperlink r:id="rId35">
        <w:r w:rsidRPr="3A878784">
          <w:rPr>
            <w:rStyle w:val="Hyperlink"/>
          </w:rPr>
          <w:t>https://www.investopedia.com/terms/home-mortgage-interest.asp</w:t>
        </w:r>
      </w:hyperlink>
    </w:p>
  </w:footnote>
  <w:footnote w:id="37">
    <w:p w14:paraId="3CE39760" w14:textId="77777777" w:rsidR="3A878784" w:rsidRDefault="3A878784" w:rsidP="3A878784">
      <w:pPr>
        <w:pStyle w:val="FootnoteText"/>
      </w:pPr>
      <w:r w:rsidRPr="3A878784">
        <w:rPr>
          <w:rStyle w:val="FootnoteReference"/>
        </w:rPr>
        <w:footnoteRef/>
      </w:r>
      <w:r>
        <w:t xml:space="preserve"> Institute on Assets and Social Policy, National Low-Income Housing Coalition: “Misdirected Investments: How the Mortgage Interest Deduction Drives Inequality and the Racial Wealth Gap.” </w:t>
      </w:r>
      <w:hyperlink r:id="rId36">
        <w:r w:rsidRPr="3A878784">
          <w:rPr>
            <w:rStyle w:val="Hyperlink"/>
          </w:rPr>
          <w:t>https://iasp.brandeis.edu/pdfs/2017/NLIHC-IASP_MID-Report.pdf</w:t>
        </w:r>
      </w:hyperlink>
    </w:p>
  </w:footnote>
  <w:footnote w:id="38">
    <w:p w14:paraId="33D72BE4" w14:textId="771C2147" w:rsidR="3A878784" w:rsidRDefault="3A878784" w:rsidP="3A878784">
      <w:pPr>
        <w:pStyle w:val="FootnoteText"/>
      </w:pPr>
      <w:r w:rsidRPr="3A878784">
        <w:rPr>
          <w:rStyle w:val="FootnoteReference"/>
        </w:rPr>
        <w:footnoteRef/>
      </w:r>
      <w:r>
        <w:t xml:space="preserve"> Greer, </w:t>
      </w:r>
      <w:proofErr w:type="spellStart"/>
      <w:r>
        <w:t>Jeremie</w:t>
      </w:r>
      <w:proofErr w:type="spellEnd"/>
      <w:r>
        <w:t xml:space="preserve">, “How the US Tax Code Drives Inequality and What We Can Do to Fix It.” </w:t>
      </w:r>
      <w:hyperlink r:id="rId37">
        <w:r w:rsidRPr="3A878784">
          <w:rPr>
            <w:rStyle w:val="Hyperlink"/>
          </w:rPr>
          <w:t>https://iasp.brandeis.edu/pdfs/2017/NLIHC-IASP_MID-Report.pdf</w:t>
        </w:r>
      </w:hyperlink>
    </w:p>
  </w:footnote>
  <w:footnote w:id="39">
    <w:p w14:paraId="3CED6660" w14:textId="4EDA1470" w:rsidR="00AD342A" w:rsidRDefault="00D10BE8">
      <w:pPr>
        <w:pStyle w:val="FootnoteText"/>
      </w:pPr>
      <w:r>
        <w:rPr>
          <w:rStyle w:val="FootnoteReference"/>
        </w:rPr>
        <w:footnoteRef/>
      </w:r>
      <w:r>
        <w:t xml:space="preserve"> </w:t>
      </w:r>
      <w:r w:rsidR="00626A0F">
        <w:t xml:space="preserve">Congressional Research Service, “The Economic Effects of the 2017 Revision: Preliminary Observations.” </w:t>
      </w:r>
      <w:hyperlink r:id="rId38" w:history="1">
        <w:r w:rsidR="006158BE">
          <w:rPr>
            <w:rStyle w:val="Hyperlink"/>
          </w:rPr>
          <w:t>https://www.everycrsreport.com/files/20190522_R45736_8a1214e903ee2b719e00731791d60f26d75d35f4.pdf</w:t>
        </w:r>
      </w:hyperlink>
      <w:r w:rsidR="006158BE">
        <w:t xml:space="preserve">. 2019. </w:t>
      </w:r>
    </w:p>
  </w:footnote>
  <w:footnote w:id="40">
    <w:p w14:paraId="379A5B6B" w14:textId="09FEBA4B" w:rsidR="00A207EC" w:rsidRDefault="00A207EC">
      <w:pPr>
        <w:pStyle w:val="FootnoteText"/>
      </w:pPr>
      <w:r>
        <w:rPr>
          <w:rStyle w:val="FootnoteReference"/>
        </w:rPr>
        <w:footnoteRef/>
      </w:r>
      <w:r>
        <w:t xml:space="preserve"> Institute for Taxation and Economic Policy, “Congressional Research Service Calls Three Strikes on the Trump Tax Cuts.” 2019. </w:t>
      </w:r>
    </w:p>
  </w:footnote>
  <w:footnote w:id="41">
    <w:p w14:paraId="7CF99ED4" w14:textId="267003FF" w:rsidR="00A207EC" w:rsidRDefault="00A207EC">
      <w:pPr>
        <w:pStyle w:val="FootnoteText"/>
      </w:pPr>
      <w:r>
        <w:rPr>
          <w:rStyle w:val="FootnoteReference"/>
        </w:rPr>
        <w:footnoteRef/>
      </w:r>
      <w:r>
        <w:t xml:space="preserve"> The Hill, “Trump’s tax law had small effect on economy, wages: Study.” </w:t>
      </w:r>
      <w:hyperlink r:id="rId39" w:history="1">
        <w:r>
          <w:rPr>
            <w:rStyle w:val="Hyperlink"/>
          </w:rPr>
          <w:t>https://thehill.com/policy/finance/445830-tax-law-had-small-effect-on-economy-wages-study</w:t>
        </w:r>
      </w:hyperlink>
      <w:r>
        <w:t>. 2019</w:t>
      </w:r>
    </w:p>
  </w:footnote>
  <w:footnote w:id="42">
    <w:p w14:paraId="2B0CB46B" w14:textId="4D0E0FC8" w:rsidR="3A878784" w:rsidRDefault="3A878784" w:rsidP="3A878784">
      <w:pPr>
        <w:pStyle w:val="FootnoteText"/>
      </w:pPr>
      <w:r w:rsidRPr="3A878784">
        <w:rPr>
          <w:rStyle w:val="FootnoteReference"/>
        </w:rPr>
        <w:footnoteRef/>
      </w:r>
      <w:r>
        <w:t xml:space="preserve"> Long, Heather. </w:t>
      </w:r>
      <w:r w:rsidRPr="3A878784">
        <w:rPr>
          <w:i/>
          <w:iCs/>
        </w:rPr>
        <w:t>Washington Post</w:t>
      </w:r>
      <w:r>
        <w:t xml:space="preserve">: “The final GOP tax bill is complete. Here’s what is in it.” </w:t>
      </w:r>
      <w:hyperlink r:id="rId40">
        <w:r w:rsidRPr="3A878784">
          <w:rPr>
            <w:rStyle w:val="Hyperlink"/>
          </w:rPr>
          <w:t>https://www.washingtonpost.com/news/wonk/wp/2017/12/15/the-final-gop-tax-bill-is-complete-heres-what-is-in-it/?noredirect=on&amp;utm_term=.bf09ac9e9095</w:t>
        </w:r>
      </w:hyperlink>
    </w:p>
  </w:footnote>
  <w:footnote w:id="43">
    <w:p w14:paraId="79053F42" w14:textId="0784BC80" w:rsidR="00680321" w:rsidRDefault="00680321">
      <w:pPr>
        <w:pStyle w:val="FootnoteText"/>
      </w:pPr>
      <w:r>
        <w:rPr>
          <w:rStyle w:val="FootnoteReference"/>
        </w:rPr>
        <w:footnoteRef/>
      </w:r>
      <w:r>
        <w:t xml:space="preserve"> Scott, Dylan</w:t>
      </w:r>
      <w:proofErr w:type="gramStart"/>
      <w:r>
        <w:t>, ”The</w:t>
      </w:r>
      <w:proofErr w:type="gramEnd"/>
      <w:r>
        <w:t xml:space="preserve"> GOP tax law’s lopsided giveaway to corporations, explained in one sentence.” </w:t>
      </w:r>
      <w:hyperlink r:id="rId41">
        <w:r w:rsidR="52A2ACDF" w:rsidRPr="52A2ACDF">
          <w:rPr>
            <w:rStyle w:val="Hyperlink"/>
          </w:rPr>
          <w:t>https://www.vox.com/policy-and-politics/2019/5/29/18642928/trump-tax-cuts-and-jobs-act-analysis</w:t>
        </w:r>
      </w:hyperlink>
      <w:r w:rsidR="52A2ACDF" w:rsidRPr="52A2ACDF">
        <w:t xml:space="preserve">. 2019. </w:t>
      </w:r>
    </w:p>
  </w:footnote>
  <w:footnote w:id="44">
    <w:p w14:paraId="57D2B748" w14:textId="070EE357" w:rsidR="00E85B4D" w:rsidRPr="00C546C8" w:rsidRDefault="00E85B4D">
      <w:pPr>
        <w:pStyle w:val="FootnoteText"/>
        <w:rPr>
          <w:b/>
        </w:rPr>
      </w:pPr>
      <w:r>
        <w:rPr>
          <w:rStyle w:val="FootnoteReference"/>
        </w:rPr>
        <w:footnoteRef/>
      </w:r>
      <w:r>
        <w:t xml:space="preserve"> Tax Policy Center, “</w:t>
      </w:r>
      <w:r w:rsidR="004C6656">
        <w:t xml:space="preserve">Tax Policy Center Briefing Book: The State of State (and Local) Tax Policy. </w:t>
      </w:r>
      <w:hyperlink r:id="rId42" w:history="1">
        <w:r w:rsidR="004C6656">
          <w:rPr>
            <w:rStyle w:val="Hyperlink"/>
          </w:rPr>
          <w:t>https://www.taxpolicycenter.org/briefing-book/how-does-deduction-state-and-local-taxes-work</w:t>
        </w:r>
      </w:hyperlink>
      <w:r w:rsidR="004C6656">
        <w:t xml:space="preserve">. </w:t>
      </w:r>
    </w:p>
  </w:footnote>
  <w:footnote w:id="45">
    <w:p w14:paraId="5441F3AD" w14:textId="23509123" w:rsidR="00C83804" w:rsidRDefault="00C83804">
      <w:pPr>
        <w:pStyle w:val="FootnoteText"/>
      </w:pPr>
      <w:r>
        <w:rPr>
          <w:rStyle w:val="FootnoteReference"/>
        </w:rPr>
        <w:footnoteRef/>
      </w:r>
      <w:r>
        <w:t xml:space="preserve"> </w:t>
      </w:r>
      <w:r w:rsidR="00754BAB">
        <w:t xml:space="preserve">Tax Policy Center, “Distributional Analysis of the Conference Agreement for the Tax Cuts and Jobs Act.” </w:t>
      </w:r>
      <w:hyperlink r:id="rId43" w:history="1">
        <w:r w:rsidR="007924D8">
          <w:rPr>
            <w:rStyle w:val="Hyperlink"/>
          </w:rPr>
          <w:t>https://www.taxpolicycenter.org/publications/distributional-analysis-conference-agreement-tax-cuts-and-jobs-act/full</w:t>
        </w:r>
      </w:hyperlink>
      <w:r w:rsidR="007924D8">
        <w:t xml:space="preserve">. 2017. </w:t>
      </w:r>
    </w:p>
  </w:footnote>
  <w:footnote w:id="46">
    <w:p w14:paraId="7141A788" w14:textId="25F03423" w:rsidR="00FB72C0" w:rsidRDefault="00FB72C0">
      <w:pPr>
        <w:pStyle w:val="FootnoteText"/>
      </w:pPr>
      <w:r>
        <w:rPr>
          <w:rStyle w:val="FootnoteReference"/>
        </w:rPr>
        <w:footnoteRef/>
      </w:r>
      <w:r>
        <w:t xml:space="preserve"> Marr, C., Duke, B., Huang, C., “New Tax Law Is Fundamentally Flawed and Will Require Basic Restructuring.”</w:t>
      </w:r>
      <w:r w:rsidR="00310CF6" w:rsidRPr="00310CF6">
        <w:t xml:space="preserve"> </w:t>
      </w:r>
      <w:hyperlink r:id="rId44" w:history="1">
        <w:r w:rsidR="00310CF6">
          <w:rPr>
            <w:rStyle w:val="Hyperlink"/>
          </w:rPr>
          <w:t>https://www.cbpp.org/research/federal-tax/new-tax-law-is-fundamentally-flawed-and-will-require-basic-restructuring</w:t>
        </w:r>
      </w:hyperlink>
      <w:r w:rsidR="00310CF6">
        <w:t xml:space="preserve">. 2018. </w:t>
      </w:r>
    </w:p>
  </w:footnote>
  <w:footnote w:id="47">
    <w:p w14:paraId="6C592910" w14:textId="3732EDFE" w:rsidR="006B068E" w:rsidRDefault="006B068E">
      <w:pPr>
        <w:pStyle w:val="FootnoteText"/>
      </w:pPr>
      <w:r>
        <w:rPr>
          <w:rStyle w:val="FootnoteReference"/>
        </w:rPr>
        <w:footnoteRef/>
      </w:r>
      <w:r>
        <w:t xml:space="preserve"> </w:t>
      </w:r>
      <w:r w:rsidR="00C97883">
        <w:t>Center on Budget and Policy Priorities, “</w:t>
      </w:r>
      <w:r w:rsidR="0001186D">
        <w:t xml:space="preserve">Six Ways the 2017 Tax Law Hurts Low- and Moderate- Income Households.” </w:t>
      </w:r>
      <w:hyperlink r:id="rId45" w:history="1">
        <w:r w:rsidR="0001186D">
          <w:rPr>
            <w:rStyle w:val="Hyperlink"/>
          </w:rPr>
          <w:t>https://www.cbpp.org/blog/6-ways-the-2017-tax-law-hurts-low-and-moderate-income-households</w:t>
        </w:r>
      </w:hyperlink>
      <w:r w:rsidR="0001186D">
        <w:t xml:space="preserve">. 2019. </w:t>
      </w:r>
    </w:p>
  </w:footnote>
  <w:footnote w:id="48">
    <w:p w14:paraId="30A19B9A" w14:textId="31BC658D" w:rsidR="00D36AC1" w:rsidRDefault="00D36AC1">
      <w:pPr>
        <w:pStyle w:val="FootnoteText"/>
      </w:pPr>
      <w:r>
        <w:rPr>
          <w:rStyle w:val="FootnoteReference"/>
        </w:rPr>
        <w:footnoteRef/>
      </w:r>
      <w:r>
        <w:t xml:space="preserve"> Tax Policy Center, “Tax Policy Center Briefing Book: </w:t>
      </w:r>
      <w:r w:rsidR="00812FA0">
        <w:t xml:space="preserve">Key Elements of the U.S. Tax System.” </w:t>
      </w:r>
      <w:hyperlink r:id="rId46" w:history="1">
        <w:r w:rsidR="00812FA0">
          <w:rPr>
            <w:rStyle w:val="Hyperlink"/>
          </w:rPr>
          <w:t>https://www.taxpolicycenter.org/briefing-book/how-many-people-pay-estate-tax</w:t>
        </w:r>
      </w:hyperlink>
      <w:r w:rsidR="00812FA0">
        <w:t xml:space="preserve">. </w:t>
      </w:r>
    </w:p>
  </w:footnote>
  <w:footnote w:id="49">
    <w:p w14:paraId="4C391796" w14:textId="354A1EDF" w:rsidR="00EF1A6E" w:rsidRDefault="00EF1A6E">
      <w:pPr>
        <w:pStyle w:val="FootnoteText"/>
      </w:pPr>
      <w:r>
        <w:rPr>
          <w:rStyle w:val="FootnoteReference"/>
        </w:rPr>
        <w:footnoteRef/>
      </w:r>
      <w:r>
        <w:t xml:space="preserve"> </w:t>
      </w:r>
      <w:r w:rsidR="00B6360B">
        <w:t xml:space="preserve">Tax Policy Center, “Fixing the TCJA: Restoring the Estate Tax’s Exemption Levels.” </w:t>
      </w:r>
      <w:hyperlink r:id="rId47" w:history="1">
        <w:r w:rsidR="00DC29DB">
          <w:rPr>
            <w:rStyle w:val="Hyperlink"/>
          </w:rPr>
          <w:t>https://www.taxpolicycenter.org/taxvox/fixing-tcja-restoring-estate-taxs-exemption-levels</w:t>
        </w:r>
      </w:hyperlink>
      <w:r w:rsidR="00DC29DB">
        <w:t>. 2019.</w:t>
      </w:r>
    </w:p>
  </w:footnote>
  <w:footnote w:id="50">
    <w:p w14:paraId="494F77F1" w14:textId="5C6124F8" w:rsidR="00523994" w:rsidRDefault="00523994">
      <w:pPr>
        <w:pStyle w:val="FootnoteText"/>
      </w:pPr>
      <w:r>
        <w:rPr>
          <w:rStyle w:val="FootnoteReference"/>
        </w:rPr>
        <w:footnoteRef/>
      </w:r>
      <w:r>
        <w:t xml:space="preserve"> Ibid. </w:t>
      </w:r>
    </w:p>
  </w:footnote>
  <w:footnote w:id="51">
    <w:p w14:paraId="14FC7C53" w14:textId="606974F2" w:rsidR="3A878784" w:rsidRDefault="3A878784" w:rsidP="3A878784">
      <w:pPr>
        <w:pStyle w:val="FootnoteText"/>
      </w:pPr>
      <w:r w:rsidRPr="3A878784">
        <w:rPr>
          <w:rStyle w:val="FootnoteReference"/>
        </w:rPr>
        <w:footnoteRef/>
      </w:r>
      <w:r>
        <w:t xml:space="preserve"> Long, Heather. </w:t>
      </w:r>
      <w:r w:rsidRPr="3A878784">
        <w:rPr>
          <w:i/>
          <w:iCs/>
        </w:rPr>
        <w:t>Washington Post</w:t>
      </w:r>
      <w:r>
        <w:t xml:space="preserve">: “The final GOP tax bill is complete. Here’s what is in it.” </w:t>
      </w:r>
      <w:hyperlink r:id="rId48">
        <w:r w:rsidRPr="3A878784">
          <w:rPr>
            <w:rStyle w:val="Hyperlink"/>
          </w:rPr>
          <w:t>https://www.washingtonpost.com/news/wonk/wp/2017/12/15/the-final-gop-tax-bill-is-complete-heres-what-is-in-it/?noredirect=on&amp;utm_term=.bf09ac9e9095</w:t>
        </w:r>
      </w:hyperlink>
    </w:p>
  </w:footnote>
  <w:footnote w:id="52">
    <w:p w14:paraId="25BA27F3" w14:textId="68782B10" w:rsidR="00187295" w:rsidRDefault="00187295">
      <w:pPr>
        <w:pStyle w:val="FootnoteText"/>
      </w:pPr>
      <w:r>
        <w:rPr>
          <w:rStyle w:val="FootnoteReference"/>
        </w:rPr>
        <w:footnoteRef/>
      </w:r>
      <w:r>
        <w:t xml:space="preserve"> </w:t>
      </w:r>
      <w:r w:rsidR="00033275">
        <w:t xml:space="preserve">Siddiqui, S., “McConnel blames budget deficit rise on government programs – not Republican tax cuts.” </w:t>
      </w:r>
      <w:hyperlink r:id="rId49" w:history="1">
        <w:r w:rsidR="007B011D" w:rsidRPr="007B762E">
          <w:rPr>
            <w:rStyle w:val="Hyperlink"/>
          </w:rPr>
          <w:t>https://www.theguardian.com/us-news/2018/oct/16/mitch-mcconnell-federal-budget-deficit-tax-cuts.2018</w:t>
        </w:r>
      </w:hyperlink>
      <w:r w:rsidR="007B011D">
        <w:t xml:space="preserve">. </w:t>
      </w:r>
    </w:p>
  </w:footnote>
  <w:footnote w:id="53">
    <w:p w14:paraId="031B3EAC" w14:textId="218C1A5C" w:rsidR="3A878784" w:rsidRDefault="3A878784" w:rsidP="3A878784">
      <w:pPr>
        <w:pStyle w:val="FootnoteText"/>
      </w:pPr>
      <w:r w:rsidRPr="3A878784">
        <w:rPr>
          <w:rStyle w:val="FootnoteReference"/>
        </w:rPr>
        <w:footnoteRef/>
      </w:r>
      <w:r>
        <w:t xml:space="preserve"> Hanlon, S. and Hendricks, G., “Congress Should Not Give a Second Helping of Tax Cuts to the Rich.” </w:t>
      </w:r>
      <w:hyperlink r:id="rId50">
        <w:r w:rsidRPr="3A878784">
          <w:rPr>
            <w:rStyle w:val="Hyperlink"/>
          </w:rPr>
          <w:t>https://www.americanprogress.org/issues/economy/news/2018/06/14/452195/congress-not-give-second-helping-tax-cuts-rich/</w:t>
        </w:r>
      </w:hyperlink>
      <w:r>
        <w:t xml:space="preserve"> </w:t>
      </w:r>
    </w:p>
  </w:footnote>
  <w:footnote w:id="54">
    <w:p w14:paraId="1799AC95" w14:textId="29C372DE" w:rsidR="3A878784" w:rsidRDefault="3A878784" w:rsidP="3A878784">
      <w:pPr>
        <w:pStyle w:val="FootnoteText"/>
      </w:pPr>
      <w:r w:rsidRPr="3A878784">
        <w:rPr>
          <w:rStyle w:val="FootnoteReference"/>
        </w:rPr>
        <w:footnoteRef/>
      </w:r>
      <w:r>
        <w:t xml:space="preserve"> Ibid.</w:t>
      </w:r>
    </w:p>
  </w:footnote>
  <w:footnote w:id="55">
    <w:p w14:paraId="0E669F3D" w14:textId="3FEFB476" w:rsidR="3A878784" w:rsidRDefault="3A878784" w:rsidP="3A878784">
      <w:pPr>
        <w:pStyle w:val="FootnoteText"/>
      </w:pPr>
      <w:r w:rsidRPr="3A878784">
        <w:rPr>
          <w:rStyle w:val="FootnoteReference"/>
        </w:rPr>
        <w:footnoteRef/>
      </w:r>
      <w:r>
        <w:t xml:space="preserve"> Long, Heather. </w:t>
      </w:r>
      <w:r w:rsidRPr="3A878784">
        <w:rPr>
          <w:i/>
          <w:iCs/>
        </w:rPr>
        <w:t>Washington Post</w:t>
      </w:r>
      <w:r>
        <w:t xml:space="preserve">: “The final GOP tax bill is complete. Here’s what is in it.” </w:t>
      </w:r>
      <w:hyperlink r:id="rId51">
        <w:r w:rsidRPr="3A878784">
          <w:rPr>
            <w:rStyle w:val="Hyperlink"/>
          </w:rPr>
          <w:t>https://www.washingtonpost.com/news/wonk/wp/2017/12/15/the-final-gop-tax-bill-is-complete-heres-what-is-in-it/?noredirect=on&amp;utm_term=.bf09ac9e9095</w:t>
        </w:r>
      </w:hyperlink>
      <w:r>
        <w:t xml:space="preserve"> </w:t>
      </w:r>
    </w:p>
  </w:footnote>
  <w:footnote w:id="56">
    <w:p w14:paraId="48C6AEB2" w14:textId="30815FA1" w:rsidR="3A878784" w:rsidRDefault="3A878784" w:rsidP="3A878784">
      <w:pPr>
        <w:pStyle w:val="FootnoteText"/>
      </w:pPr>
      <w:r w:rsidRPr="3A878784">
        <w:rPr>
          <w:rStyle w:val="FootnoteReference"/>
        </w:rPr>
        <w:footnoteRef/>
      </w:r>
      <w:r w:rsidR="007D1BA0">
        <w:t xml:space="preserve"> Prosperity Now and Institute on Taxation and </w:t>
      </w:r>
      <w:r w:rsidR="00AA4217">
        <w:t xml:space="preserve">Economic </w:t>
      </w:r>
      <w:r w:rsidR="007D1BA0">
        <w:t xml:space="preserve">Policy, </w:t>
      </w:r>
      <w:r w:rsidR="00AA4217">
        <w:t>“Race, Wealth, and Taxes: How the Tax Cuts and Jobs Act Supercharges the Racial Wealth Divide.”</w:t>
      </w:r>
      <w:r w:rsidR="00D934F1" w:rsidRPr="00D934F1">
        <w:t xml:space="preserve"> </w:t>
      </w:r>
      <w:hyperlink r:id="rId52" w:history="1">
        <w:r w:rsidR="00D934F1">
          <w:rPr>
            <w:rStyle w:val="Hyperlink"/>
          </w:rPr>
          <w:t>https://prosperitynow.org/sites/default/files/resources/ITEP-Prosperity_Now-Race_Wealth_and_Taxes-FULL%20REPORT-FINAL_6.pdf</w:t>
        </w:r>
      </w:hyperlink>
      <w:r w:rsidR="00D934F1">
        <w:t xml:space="preserve">. 2018. </w:t>
      </w:r>
    </w:p>
  </w:footnote>
  <w:footnote w:id="57">
    <w:p w14:paraId="4C7AEAB1" w14:textId="2EFEDC0B" w:rsidR="00765D13" w:rsidRDefault="00765D13">
      <w:pPr>
        <w:pStyle w:val="FootnoteText"/>
      </w:pPr>
      <w:r>
        <w:rPr>
          <w:rStyle w:val="FootnoteReference"/>
        </w:rPr>
        <w:footnoteRef/>
      </w:r>
      <w:r>
        <w:t xml:space="preserve"> </w:t>
      </w:r>
      <w:r w:rsidR="00902B7F">
        <w:t>Prosperity Now and Institute on Taxation and Economic Policy, “Race, Wealth, and Taxes: How the Tax Cuts and Jobs Act Supercharges the Racial Wealth Divide.”</w:t>
      </w:r>
      <w:r w:rsidR="00902B7F" w:rsidRPr="00D934F1">
        <w:t xml:space="preserve"> </w:t>
      </w:r>
      <w:hyperlink r:id="rId53" w:history="1">
        <w:r w:rsidR="00902B7F">
          <w:rPr>
            <w:rStyle w:val="Hyperlink"/>
          </w:rPr>
          <w:t>https://prosperitynow.org/sites/default/files/resources/ITEP-Prosperity_Now-Race_Wealth_and_Taxes-FULL%20REPORT-FINAL_6.pdf</w:t>
        </w:r>
      </w:hyperlink>
      <w:r w:rsidR="00902B7F">
        <w:t xml:space="preserve">. 2018. </w:t>
      </w:r>
    </w:p>
  </w:footnote>
  <w:footnote w:id="58">
    <w:p w14:paraId="636F6554" w14:textId="77981EB3" w:rsidR="3A878784" w:rsidRDefault="3A878784" w:rsidP="3A878784">
      <w:pPr>
        <w:pStyle w:val="FootnoteText"/>
      </w:pPr>
      <w:r w:rsidRPr="3A878784">
        <w:rPr>
          <w:rStyle w:val="FootnoteReference"/>
        </w:rPr>
        <w:footnoteRef/>
      </w:r>
      <w:r>
        <w:t xml:space="preserve"> </w:t>
      </w:r>
      <w:r w:rsidR="00CA19C3">
        <w:t>Tax Alliance for Economic Mobility, “Principles for Reform: Tax Credits for Low-Income Workers.”</w:t>
      </w:r>
      <w:r w:rsidR="00CA19C3" w:rsidRPr="00CA19C3">
        <w:t xml:space="preserve"> </w:t>
      </w:r>
      <w:hyperlink r:id="rId54" w:history="1">
        <w:r w:rsidR="00CA19C3">
          <w:rPr>
            <w:rStyle w:val="Hyperlink"/>
          </w:rPr>
          <w:t>https://www.taxallianceforeconomicmobility.org/wp-content/uploads/2019/01/Tax_Alliance_Low-Income-Worker-Credit-Principles_2019-FINAL.pdf</w:t>
        </w:r>
      </w:hyperlink>
      <w:r w:rsidR="00CA19C3">
        <w:t xml:space="preserve">. 2019. </w:t>
      </w:r>
      <w:r w:rsidR="00CA19C3" w:rsidDel="00CA19C3">
        <w:t xml:space="preserve"> </w:t>
      </w:r>
    </w:p>
  </w:footnote>
  <w:footnote w:id="59">
    <w:p w14:paraId="48DD4531" w14:textId="18A46AC7" w:rsidR="3A878784" w:rsidRDefault="3A878784" w:rsidP="3A878784">
      <w:pPr>
        <w:pStyle w:val="FootnoteText"/>
      </w:pPr>
      <w:r w:rsidRPr="3A878784">
        <w:rPr>
          <w:rStyle w:val="FootnoteReference"/>
        </w:rPr>
        <w:footnoteRef/>
      </w:r>
      <w:r>
        <w:t xml:space="preserve"> </w:t>
      </w:r>
      <w:proofErr w:type="spellStart"/>
      <w:r w:rsidR="00E33343">
        <w:t>Wiehe</w:t>
      </w:r>
      <w:proofErr w:type="spellEnd"/>
      <w:r w:rsidR="00E33343">
        <w:t xml:space="preserve">, M., Nieves, E., </w:t>
      </w:r>
      <w:r w:rsidR="00561AB1">
        <w:t>Greer, J., Newville, D.,</w:t>
      </w:r>
      <w:r>
        <w:t xml:space="preserve"> “</w:t>
      </w:r>
      <w:r w:rsidR="00561AB1">
        <w:t>Race, Wealth and Taxes: How the Tax Cuts and Jobs Act Supercharges the Racial Wealth Divide</w:t>
      </w:r>
      <w:r>
        <w:t xml:space="preserve">.” </w:t>
      </w:r>
      <w:hyperlink r:id="rId55" w:history="1">
        <w:r w:rsidR="00267CA2">
          <w:rPr>
            <w:rStyle w:val="Hyperlink"/>
          </w:rPr>
          <w:t>https://itep.org/race-wealth-and-taxes-how-the-tax-cuts-and-jobs-act-supercharges-the-racial-wealth-divide/</w:t>
        </w:r>
      </w:hyperlink>
      <w:r w:rsidR="00267CA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601F98" w14:paraId="0B103A04" w14:textId="77777777" w:rsidTr="2C536D28">
      <w:tc>
        <w:tcPr>
          <w:tcW w:w="3120" w:type="dxa"/>
        </w:tcPr>
        <w:p w14:paraId="484FBE84" w14:textId="046A6E89" w:rsidR="00601F98" w:rsidRDefault="00601F98" w:rsidP="2C536D28">
          <w:pPr>
            <w:pStyle w:val="Header"/>
            <w:ind w:left="-115"/>
          </w:pPr>
        </w:p>
      </w:tc>
      <w:tc>
        <w:tcPr>
          <w:tcW w:w="3120" w:type="dxa"/>
        </w:tcPr>
        <w:p w14:paraId="3B42BFD2" w14:textId="3994046B" w:rsidR="00601F98" w:rsidRDefault="00601F98" w:rsidP="2C536D28">
          <w:pPr>
            <w:pStyle w:val="Header"/>
            <w:jc w:val="center"/>
          </w:pPr>
        </w:p>
      </w:tc>
      <w:tc>
        <w:tcPr>
          <w:tcW w:w="3120" w:type="dxa"/>
        </w:tcPr>
        <w:p w14:paraId="447D5D07" w14:textId="50C5C5D5" w:rsidR="00601F98" w:rsidRDefault="00601F98" w:rsidP="2C536D28">
          <w:pPr>
            <w:pStyle w:val="Header"/>
            <w:ind w:right="-115"/>
            <w:jc w:val="right"/>
          </w:pPr>
        </w:p>
      </w:tc>
    </w:tr>
  </w:tbl>
  <w:p w14:paraId="2DDF7027" w14:textId="7FD59284" w:rsidR="00601F98" w:rsidRDefault="00601F98" w:rsidP="2C536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6195A"/>
    <w:multiLevelType w:val="multilevel"/>
    <w:tmpl w:val="881C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D367CC"/>
    <w:multiLevelType w:val="hybridMultilevel"/>
    <w:tmpl w:val="ADE6D37C"/>
    <w:lvl w:ilvl="0" w:tplc="EDB6269C">
      <w:start w:val="1"/>
      <w:numFmt w:val="bullet"/>
      <w:lvlText w:val=""/>
      <w:lvlJc w:val="left"/>
      <w:pPr>
        <w:ind w:left="720" w:hanging="360"/>
      </w:pPr>
      <w:rPr>
        <w:rFonts w:ascii="Symbol" w:hAnsi="Symbol" w:hint="default"/>
      </w:rPr>
    </w:lvl>
    <w:lvl w:ilvl="1" w:tplc="BB1815EC">
      <w:start w:val="1"/>
      <w:numFmt w:val="bullet"/>
      <w:lvlText w:val="o"/>
      <w:lvlJc w:val="left"/>
      <w:pPr>
        <w:ind w:left="1440" w:hanging="360"/>
      </w:pPr>
      <w:rPr>
        <w:rFonts w:ascii="Courier New" w:hAnsi="Courier New" w:hint="default"/>
      </w:rPr>
    </w:lvl>
    <w:lvl w:ilvl="2" w:tplc="76B47D42">
      <w:start w:val="1"/>
      <w:numFmt w:val="bullet"/>
      <w:lvlText w:val=""/>
      <w:lvlJc w:val="left"/>
      <w:pPr>
        <w:ind w:left="2160" w:hanging="360"/>
      </w:pPr>
      <w:rPr>
        <w:rFonts w:ascii="Wingdings" w:hAnsi="Wingdings" w:hint="default"/>
      </w:rPr>
    </w:lvl>
    <w:lvl w:ilvl="3" w:tplc="BB3C8D30">
      <w:start w:val="1"/>
      <w:numFmt w:val="bullet"/>
      <w:lvlText w:val=""/>
      <w:lvlJc w:val="left"/>
      <w:pPr>
        <w:ind w:left="2880" w:hanging="360"/>
      </w:pPr>
      <w:rPr>
        <w:rFonts w:ascii="Symbol" w:hAnsi="Symbol" w:hint="default"/>
      </w:rPr>
    </w:lvl>
    <w:lvl w:ilvl="4" w:tplc="EE969EB6">
      <w:start w:val="1"/>
      <w:numFmt w:val="bullet"/>
      <w:lvlText w:val="o"/>
      <w:lvlJc w:val="left"/>
      <w:pPr>
        <w:ind w:left="3600" w:hanging="360"/>
      </w:pPr>
      <w:rPr>
        <w:rFonts w:ascii="Courier New" w:hAnsi="Courier New" w:hint="default"/>
      </w:rPr>
    </w:lvl>
    <w:lvl w:ilvl="5" w:tplc="3F9E101A">
      <w:start w:val="1"/>
      <w:numFmt w:val="bullet"/>
      <w:lvlText w:val=""/>
      <w:lvlJc w:val="left"/>
      <w:pPr>
        <w:ind w:left="4320" w:hanging="360"/>
      </w:pPr>
      <w:rPr>
        <w:rFonts w:ascii="Wingdings" w:hAnsi="Wingdings" w:hint="default"/>
      </w:rPr>
    </w:lvl>
    <w:lvl w:ilvl="6" w:tplc="F996B138">
      <w:start w:val="1"/>
      <w:numFmt w:val="bullet"/>
      <w:lvlText w:val=""/>
      <w:lvlJc w:val="left"/>
      <w:pPr>
        <w:ind w:left="5040" w:hanging="360"/>
      </w:pPr>
      <w:rPr>
        <w:rFonts w:ascii="Symbol" w:hAnsi="Symbol" w:hint="default"/>
      </w:rPr>
    </w:lvl>
    <w:lvl w:ilvl="7" w:tplc="3C782AB8">
      <w:start w:val="1"/>
      <w:numFmt w:val="bullet"/>
      <w:lvlText w:val="o"/>
      <w:lvlJc w:val="left"/>
      <w:pPr>
        <w:ind w:left="5760" w:hanging="360"/>
      </w:pPr>
      <w:rPr>
        <w:rFonts w:ascii="Courier New" w:hAnsi="Courier New" w:hint="default"/>
      </w:rPr>
    </w:lvl>
    <w:lvl w:ilvl="8" w:tplc="38706E10">
      <w:start w:val="1"/>
      <w:numFmt w:val="bullet"/>
      <w:lvlText w:val=""/>
      <w:lvlJc w:val="left"/>
      <w:pPr>
        <w:ind w:left="6480" w:hanging="360"/>
      </w:pPr>
      <w:rPr>
        <w:rFonts w:ascii="Wingdings" w:hAnsi="Wingdings" w:hint="default"/>
      </w:rPr>
    </w:lvl>
  </w:abstractNum>
  <w:abstractNum w:abstractNumId="2" w15:restartNumberingAfterBreak="0">
    <w:nsid w:val="2EA10D44"/>
    <w:multiLevelType w:val="multilevel"/>
    <w:tmpl w:val="4596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CD1F51"/>
    <w:multiLevelType w:val="multilevel"/>
    <w:tmpl w:val="5EDEC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210178"/>
    <w:multiLevelType w:val="multilevel"/>
    <w:tmpl w:val="2C760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F2047B"/>
    <w:multiLevelType w:val="multilevel"/>
    <w:tmpl w:val="431A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973803"/>
    <w:multiLevelType w:val="hybridMultilevel"/>
    <w:tmpl w:val="FAB6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FC1761"/>
    <w:multiLevelType w:val="multilevel"/>
    <w:tmpl w:val="36D6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AB08D9"/>
    <w:multiLevelType w:val="hybridMultilevel"/>
    <w:tmpl w:val="2E502EC2"/>
    <w:lvl w:ilvl="0" w:tplc="440C03DA">
      <w:start w:val="1"/>
      <w:numFmt w:val="bullet"/>
      <w:lvlText w:val=""/>
      <w:lvlJc w:val="left"/>
      <w:pPr>
        <w:ind w:left="720" w:hanging="360"/>
      </w:pPr>
      <w:rPr>
        <w:rFonts w:ascii="Symbol" w:hAnsi="Symbol" w:hint="default"/>
      </w:rPr>
    </w:lvl>
    <w:lvl w:ilvl="1" w:tplc="2424EBEE">
      <w:start w:val="1"/>
      <w:numFmt w:val="bullet"/>
      <w:lvlText w:val="o"/>
      <w:lvlJc w:val="left"/>
      <w:pPr>
        <w:ind w:left="1440" w:hanging="360"/>
      </w:pPr>
      <w:rPr>
        <w:rFonts w:ascii="Courier New" w:hAnsi="Courier New" w:hint="default"/>
      </w:rPr>
    </w:lvl>
    <w:lvl w:ilvl="2" w:tplc="893EABB4">
      <w:start w:val="1"/>
      <w:numFmt w:val="bullet"/>
      <w:lvlText w:val=""/>
      <w:lvlJc w:val="left"/>
      <w:pPr>
        <w:ind w:left="2160" w:hanging="360"/>
      </w:pPr>
      <w:rPr>
        <w:rFonts w:ascii="Wingdings" w:hAnsi="Wingdings" w:hint="default"/>
      </w:rPr>
    </w:lvl>
    <w:lvl w:ilvl="3" w:tplc="8E247090">
      <w:start w:val="1"/>
      <w:numFmt w:val="bullet"/>
      <w:lvlText w:val=""/>
      <w:lvlJc w:val="left"/>
      <w:pPr>
        <w:ind w:left="2880" w:hanging="360"/>
      </w:pPr>
      <w:rPr>
        <w:rFonts w:ascii="Symbol" w:hAnsi="Symbol" w:hint="default"/>
      </w:rPr>
    </w:lvl>
    <w:lvl w:ilvl="4" w:tplc="AA9A47CA">
      <w:start w:val="1"/>
      <w:numFmt w:val="bullet"/>
      <w:lvlText w:val="o"/>
      <w:lvlJc w:val="left"/>
      <w:pPr>
        <w:ind w:left="3600" w:hanging="360"/>
      </w:pPr>
      <w:rPr>
        <w:rFonts w:ascii="Courier New" w:hAnsi="Courier New" w:hint="default"/>
      </w:rPr>
    </w:lvl>
    <w:lvl w:ilvl="5" w:tplc="A2E81568">
      <w:start w:val="1"/>
      <w:numFmt w:val="bullet"/>
      <w:lvlText w:val=""/>
      <w:lvlJc w:val="left"/>
      <w:pPr>
        <w:ind w:left="4320" w:hanging="360"/>
      </w:pPr>
      <w:rPr>
        <w:rFonts w:ascii="Wingdings" w:hAnsi="Wingdings" w:hint="default"/>
      </w:rPr>
    </w:lvl>
    <w:lvl w:ilvl="6" w:tplc="8018BFB6">
      <w:start w:val="1"/>
      <w:numFmt w:val="bullet"/>
      <w:lvlText w:val=""/>
      <w:lvlJc w:val="left"/>
      <w:pPr>
        <w:ind w:left="5040" w:hanging="360"/>
      </w:pPr>
      <w:rPr>
        <w:rFonts w:ascii="Symbol" w:hAnsi="Symbol" w:hint="default"/>
      </w:rPr>
    </w:lvl>
    <w:lvl w:ilvl="7" w:tplc="3D425F14">
      <w:start w:val="1"/>
      <w:numFmt w:val="bullet"/>
      <w:lvlText w:val="o"/>
      <w:lvlJc w:val="left"/>
      <w:pPr>
        <w:ind w:left="5760" w:hanging="360"/>
      </w:pPr>
      <w:rPr>
        <w:rFonts w:ascii="Courier New" w:hAnsi="Courier New" w:hint="default"/>
      </w:rPr>
    </w:lvl>
    <w:lvl w:ilvl="8" w:tplc="1C461142">
      <w:start w:val="1"/>
      <w:numFmt w:val="bullet"/>
      <w:lvlText w:val=""/>
      <w:lvlJc w:val="left"/>
      <w:pPr>
        <w:ind w:left="6480" w:hanging="360"/>
      </w:pPr>
      <w:rPr>
        <w:rFonts w:ascii="Wingdings" w:hAnsi="Wingdings" w:hint="default"/>
      </w:rPr>
    </w:lvl>
  </w:abstractNum>
  <w:abstractNum w:abstractNumId="9" w15:restartNumberingAfterBreak="0">
    <w:nsid w:val="7D7261D0"/>
    <w:multiLevelType w:val="hybridMultilevel"/>
    <w:tmpl w:val="867A6364"/>
    <w:lvl w:ilvl="0" w:tplc="921CAE1A">
      <w:start w:val="1"/>
      <w:numFmt w:val="bullet"/>
      <w:lvlText w:val=""/>
      <w:lvlJc w:val="left"/>
      <w:pPr>
        <w:ind w:left="720" w:hanging="360"/>
      </w:pPr>
      <w:rPr>
        <w:rFonts w:ascii="Symbol" w:hAnsi="Symbol" w:hint="default"/>
      </w:rPr>
    </w:lvl>
    <w:lvl w:ilvl="1" w:tplc="BD62D2F6">
      <w:start w:val="1"/>
      <w:numFmt w:val="bullet"/>
      <w:lvlText w:val="o"/>
      <w:lvlJc w:val="left"/>
      <w:pPr>
        <w:ind w:left="1440" w:hanging="360"/>
      </w:pPr>
      <w:rPr>
        <w:rFonts w:ascii="Courier New" w:hAnsi="Courier New" w:hint="default"/>
      </w:rPr>
    </w:lvl>
    <w:lvl w:ilvl="2" w:tplc="DD1C3ED8">
      <w:start w:val="1"/>
      <w:numFmt w:val="bullet"/>
      <w:lvlText w:val=""/>
      <w:lvlJc w:val="left"/>
      <w:pPr>
        <w:ind w:left="2160" w:hanging="360"/>
      </w:pPr>
      <w:rPr>
        <w:rFonts w:ascii="Wingdings" w:hAnsi="Wingdings" w:hint="default"/>
      </w:rPr>
    </w:lvl>
    <w:lvl w:ilvl="3" w:tplc="36B2D4B0">
      <w:start w:val="1"/>
      <w:numFmt w:val="bullet"/>
      <w:lvlText w:val=""/>
      <w:lvlJc w:val="left"/>
      <w:pPr>
        <w:ind w:left="2880" w:hanging="360"/>
      </w:pPr>
      <w:rPr>
        <w:rFonts w:ascii="Symbol" w:hAnsi="Symbol" w:hint="default"/>
      </w:rPr>
    </w:lvl>
    <w:lvl w:ilvl="4" w:tplc="F1A039F4">
      <w:start w:val="1"/>
      <w:numFmt w:val="bullet"/>
      <w:lvlText w:val="o"/>
      <w:lvlJc w:val="left"/>
      <w:pPr>
        <w:ind w:left="3600" w:hanging="360"/>
      </w:pPr>
      <w:rPr>
        <w:rFonts w:ascii="Courier New" w:hAnsi="Courier New" w:hint="default"/>
      </w:rPr>
    </w:lvl>
    <w:lvl w:ilvl="5" w:tplc="9C3C18CC">
      <w:start w:val="1"/>
      <w:numFmt w:val="bullet"/>
      <w:lvlText w:val=""/>
      <w:lvlJc w:val="left"/>
      <w:pPr>
        <w:ind w:left="4320" w:hanging="360"/>
      </w:pPr>
      <w:rPr>
        <w:rFonts w:ascii="Wingdings" w:hAnsi="Wingdings" w:hint="default"/>
      </w:rPr>
    </w:lvl>
    <w:lvl w:ilvl="6" w:tplc="A04C33DA">
      <w:start w:val="1"/>
      <w:numFmt w:val="bullet"/>
      <w:lvlText w:val=""/>
      <w:lvlJc w:val="left"/>
      <w:pPr>
        <w:ind w:left="5040" w:hanging="360"/>
      </w:pPr>
      <w:rPr>
        <w:rFonts w:ascii="Symbol" w:hAnsi="Symbol" w:hint="default"/>
      </w:rPr>
    </w:lvl>
    <w:lvl w:ilvl="7" w:tplc="8B0027E6">
      <w:start w:val="1"/>
      <w:numFmt w:val="bullet"/>
      <w:lvlText w:val="o"/>
      <w:lvlJc w:val="left"/>
      <w:pPr>
        <w:ind w:left="5760" w:hanging="360"/>
      </w:pPr>
      <w:rPr>
        <w:rFonts w:ascii="Courier New" w:hAnsi="Courier New" w:hint="default"/>
      </w:rPr>
    </w:lvl>
    <w:lvl w:ilvl="8" w:tplc="E4DEA9E0">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7"/>
  </w:num>
  <w:num w:numId="5">
    <w:abstractNumId w:val="0"/>
  </w:num>
  <w:num w:numId="6">
    <w:abstractNumId w:val="4"/>
  </w:num>
  <w:num w:numId="7">
    <w:abstractNumId w:val="3"/>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0BA"/>
    <w:rsid w:val="00002656"/>
    <w:rsid w:val="00004DAD"/>
    <w:rsid w:val="000062AB"/>
    <w:rsid w:val="00011356"/>
    <w:rsid w:val="0001186D"/>
    <w:rsid w:val="00013E7A"/>
    <w:rsid w:val="00016ABA"/>
    <w:rsid w:val="00016E40"/>
    <w:rsid w:val="000224C8"/>
    <w:rsid w:val="00023A26"/>
    <w:rsid w:val="00024243"/>
    <w:rsid w:val="00027FE8"/>
    <w:rsid w:val="00030705"/>
    <w:rsid w:val="000324AF"/>
    <w:rsid w:val="00033275"/>
    <w:rsid w:val="00034F3B"/>
    <w:rsid w:val="00036772"/>
    <w:rsid w:val="00036ACE"/>
    <w:rsid w:val="00037416"/>
    <w:rsid w:val="0004066D"/>
    <w:rsid w:val="000449E3"/>
    <w:rsid w:val="0004551E"/>
    <w:rsid w:val="00046008"/>
    <w:rsid w:val="0005190E"/>
    <w:rsid w:val="00051D40"/>
    <w:rsid w:val="000534C1"/>
    <w:rsid w:val="000545FF"/>
    <w:rsid w:val="00054911"/>
    <w:rsid w:val="000549FF"/>
    <w:rsid w:val="00057F4F"/>
    <w:rsid w:val="00060E2B"/>
    <w:rsid w:val="00061179"/>
    <w:rsid w:val="00063A22"/>
    <w:rsid w:val="000648F4"/>
    <w:rsid w:val="00065316"/>
    <w:rsid w:val="00065930"/>
    <w:rsid w:val="00071703"/>
    <w:rsid w:val="00073957"/>
    <w:rsid w:val="000804BA"/>
    <w:rsid w:val="00080DD7"/>
    <w:rsid w:val="00081830"/>
    <w:rsid w:val="00085E94"/>
    <w:rsid w:val="0008600D"/>
    <w:rsid w:val="00086BBF"/>
    <w:rsid w:val="00087524"/>
    <w:rsid w:val="0009178F"/>
    <w:rsid w:val="000924A0"/>
    <w:rsid w:val="00093297"/>
    <w:rsid w:val="00095091"/>
    <w:rsid w:val="0009561F"/>
    <w:rsid w:val="00096789"/>
    <w:rsid w:val="00097BD7"/>
    <w:rsid w:val="000A30D9"/>
    <w:rsid w:val="000A706F"/>
    <w:rsid w:val="000A742E"/>
    <w:rsid w:val="000A7B50"/>
    <w:rsid w:val="000A7F9A"/>
    <w:rsid w:val="000B079E"/>
    <w:rsid w:val="000B07EB"/>
    <w:rsid w:val="000B0E71"/>
    <w:rsid w:val="000B1A5A"/>
    <w:rsid w:val="000B3240"/>
    <w:rsid w:val="000B589F"/>
    <w:rsid w:val="000B60F5"/>
    <w:rsid w:val="000B6A43"/>
    <w:rsid w:val="000C2ED9"/>
    <w:rsid w:val="000C6356"/>
    <w:rsid w:val="000D1D78"/>
    <w:rsid w:val="000D20D9"/>
    <w:rsid w:val="000D4F78"/>
    <w:rsid w:val="000D5902"/>
    <w:rsid w:val="000D7113"/>
    <w:rsid w:val="000D75F4"/>
    <w:rsid w:val="000D7C74"/>
    <w:rsid w:val="000E1312"/>
    <w:rsid w:val="000E193F"/>
    <w:rsid w:val="000E39A4"/>
    <w:rsid w:val="000E7E32"/>
    <w:rsid w:val="000E7E94"/>
    <w:rsid w:val="000F1DA3"/>
    <w:rsid w:val="000F28BF"/>
    <w:rsid w:val="0010310C"/>
    <w:rsid w:val="00110D45"/>
    <w:rsid w:val="00112E1C"/>
    <w:rsid w:val="00113170"/>
    <w:rsid w:val="0011470B"/>
    <w:rsid w:val="001147BB"/>
    <w:rsid w:val="00116DD0"/>
    <w:rsid w:val="00117985"/>
    <w:rsid w:val="00122CFF"/>
    <w:rsid w:val="00123A41"/>
    <w:rsid w:val="00124482"/>
    <w:rsid w:val="001261D5"/>
    <w:rsid w:val="00127FDB"/>
    <w:rsid w:val="00131935"/>
    <w:rsid w:val="001367F8"/>
    <w:rsid w:val="001370D5"/>
    <w:rsid w:val="001408F0"/>
    <w:rsid w:val="00145F2B"/>
    <w:rsid w:val="00147291"/>
    <w:rsid w:val="00150761"/>
    <w:rsid w:val="00150837"/>
    <w:rsid w:val="00150A09"/>
    <w:rsid w:val="0015134A"/>
    <w:rsid w:val="0015458A"/>
    <w:rsid w:val="00156C8A"/>
    <w:rsid w:val="00157C31"/>
    <w:rsid w:val="00160864"/>
    <w:rsid w:val="0016212B"/>
    <w:rsid w:val="0016378F"/>
    <w:rsid w:val="00163C83"/>
    <w:rsid w:val="00163F3D"/>
    <w:rsid w:val="00164B2F"/>
    <w:rsid w:val="0017319D"/>
    <w:rsid w:val="00173926"/>
    <w:rsid w:val="00173B34"/>
    <w:rsid w:val="00174975"/>
    <w:rsid w:val="00175E19"/>
    <w:rsid w:val="00177049"/>
    <w:rsid w:val="00183F65"/>
    <w:rsid w:val="00186556"/>
    <w:rsid w:val="00186D02"/>
    <w:rsid w:val="00187295"/>
    <w:rsid w:val="001917B1"/>
    <w:rsid w:val="00192D0A"/>
    <w:rsid w:val="00192EF6"/>
    <w:rsid w:val="00194CFA"/>
    <w:rsid w:val="001A0797"/>
    <w:rsid w:val="001A21E0"/>
    <w:rsid w:val="001A22D7"/>
    <w:rsid w:val="001A5131"/>
    <w:rsid w:val="001A72BE"/>
    <w:rsid w:val="001B5B01"/>
    <w:rsid w:val="001C330A"/>
    <w:rsid w:val="001C3F29"/>
    <w:rsid w:val="001C64E2"/>
    <w:rsid w:val="001D0107"/>
    <w:rsid w:val="001D281E"/>
    <w:rsid w:val="001D2DA4"/>
    <w:rsid w:val="001D4658"/>
    <w:rsid w:val="001D7E2B"/>
    <w:rsid w:val="001E2E1C"/>
    <w:rsid w:val="001E4746"/>
    <w:rsid w:val="001E5453"/>
    <w:rsid w:val="001E5A57"/>
    <w:rsid w:val="001E6C19"/>
    <w:rsid w:val="001F1E18"/>
    <w:rsid w:val="001F45F4"/>
    <w:rsid w:val="001F4C9E"/>
    <w:rsid w:val="0020081E"/>
    <w:rsid w:val="0020119F"/>
    <w:rsid w:val="002031D4"/>
    <w:rsid w:val="002033AD"/>
    <w:rsid w:val="00203B80"/>
    <w:rsid w:val="002052B3"/>
    <w:rsid w:val="0020592A"/>
    <w:rsid w:val="00205AEF"/>
    <w:rsid w:val="0020724E"/>
    <w:rsid w:val="00207C18"/>
    <w:rsid w:val="00211F2B"/>
    <w:rsid w:val="00215A39"/>
    <w:rsid w:val="00216935"/>
    <w:rsid w:val="00216D4F"/>
    <w:rsid w:val="002209B9"/>
    <w:rsid w:val="00221AA0"/>
    <w:rsid w:val="00223C0E"/>
    <w:rsid w:val="002254E8"/>
    <w:rsid w:val="00231480"/>
    <w:rsid w:val="002324F3"/>
    <w:rsid w:val="00232D15"/>
    <w:rsid w:val="002372CD"/>
    <w:rsid w:val="0023732C"/>
    <w:rsid w:val="00237444"/>
    <w:rsid w:val="00237DF4"/>
    <w:rsid w:val="00241EAB"/>
    <w:rsid w:val="0024203F"/>
    <w:rsid w:val="00243B97"/>
    <w:rsid w:val="00243B9D"/>
    <w:rsid w:val="00244B7B"/>
    <w:rsid w:val="00245145"/>
    <w:rsid w:val="00245148"/>
    <w:rsid w:val="00245B8A"/>
    <w:rsid w:val="00245C29"/>
    <w:rsid w:val="00246F1B"/>
    <w:rsid w:val="00247284"/>
    <w:rsid w:val="00247566"/>
    <w:rsid w:val="00250413"/>
    <w:rsid w:val="00251082"/>
    <w:rsid w:val="0025116F"/>
    <w:rsid w:val="002560BF"/>
    <w:rsid w:val="00262E78"/>
    <w:rsid w:val="00263710"/>
    <w:rsid w:val="00264F2E"/>
    <w:rsid w:val="00265FBB"/>
    <w:rsid w:val="00266687"/>
    <w:rsid w:val="00267CA2"/>
    <w:rsid w:val="00271A21"/>
    <w:rsid w:val="00271F0C"/>
    <w:rsid w:val="002735A3"/>
    <w:rsid w:val="00274C53"/>
    <w:rsid w:val="00276D61"/>
    <w:rsid w:val="002772CE"/>
    <w:rsid w:val="0027779C"/>
    <w:rsid w:val="00281033"/>
    <w:rsid w:val="00281CF8"/>
    <w:rsid w:val="002837B4"/>
    <w:rsid w:val="00284194"/>
    <w:rsid w:val="002860A4"/>
    <w:rsid w:val="002860D4"/>
    <w:rsid w:val="00287865"/>
    <w:rsid w:val="00287AF8"/>
    <w:rsid w:val="0029072C"/>
    <w:rsid w:val="00290A11"/>
    <w:rsid w:val="00291928"/>
    <w:rsid w:val="00292F63"/>
    <w:rsid w:val="002938EC"/>
    <w:rsid w:val="002941EA"/>
    <w:rsid w:val="002962CF"/>
    <w:rsid w:val="002A13C8"/>
    <w:rsid w:val="002A4C43"/>
    <w:rsid w:val="002A58D0"/>
    <w:rsid w:val="002B0062"/>
    <w:rsid w:val="002B319C"/>
    <w:rsid w:val="002B4377"/>
    <w:rsid w:val="002B487F"/>
    <w:rsid w:val="002B539D"/>
    <w:rsid w:val="002C0F3E"/>
    <w:rsid w:val="002C2B53"/>
    <w:rsid w:val="002D395F"/>
    <w:rsid w:val="002D4205"/>
    <w:rsid w:val="002D5035"/>
    <w:rsid w:val="002D53E0"/>
    <w:rsid w:val="002D6167"/>
    <w:rsid w:val="002E441C"/>
    <w:rsid w:val="002E46D1"/>
    <w:rsid w:val="002E6487"/>
    <w:rsid w:val="002F0281"/>
    <w:rsid w:val="002F24AA"/>
    <w:rsid w:val="002F2E9E"/>
    <w:rsid w:val="002F33BB"/>
    <w:rsid w:val="0030059B"/>
    <w:rsid w:val="003021BF"/>
    <w:rsid w:val="00307192"/>
    <w:rsid w:val="00310522"/>
    <w:rsid w:val="00310652"/>
    <w:rsid w:val="00310C9E"/>
    <w:rsid w:val="00310CF6"/>
    <w:rsid w:val="00314483"/>
    <w:rsid w:val="003170A8"/>
    <w:rsid w:val="003177A1"/>
    <w:rsid w:val="003231F0"/>
    <w:rsid w:val="00324571"/>
    <w:rsid w:val="003255C8"/>
    <w:rsid w:val="00325E29"/>
    <w:rsid w:val="003263E0"/>
    <w:rsid w:val="0033268C"/>
    <w:rsid w:val="00335637"/>
    <w:rsid w:val="003361D0"/>
    <w:rsid w:val="00336243"/>
    <w:rsid w:val="003370AF"/>
    <w:rsid w:val="00337462"/>
    <w:rsid w:val="00342C7C"/>
    <w:rsid w:val="00343F3C"/>
    <w:rsid w:val="0034422C"/>
    <w:rsid w:val="00350CDF"/>
    <w:rsid w:val="003529AE"/>
    <w:rsid w:val="0035584A"/>
    <w:rsid w:val="00363352"/>
    <w:rsid w:val="00365B4B"/>
    <w:rsid w:val="00373CE2"/>
    <w:rsid w:val="003747CB"/>
    <w:rsid w:val="00374BE6"/>
    <w:rsid w:val="003758BB"/>
    <w:rsid w:val="00375EA2"/>
    <w:rsid w:val="00380334"/>
    <w:rsid w:val="003817B3"/>
    <w:rsid w:val="0038318A"/>
    <w:rsid w:val="00385EFB"/>
    <w:rsid w:val="0039015A"/>
    <w:rsid w:val="00390EAE"/>
    <w:rsid w:val="00394023"/>
    <w:rsid w:val="003963B9"/>
    <w:rsid w:val="003A5640"/>
    <w:rsid w:val="003A6911"/>
    <w:rsid w:val="003A77C4"/>
    <w:rsid w:val="003B0ABF"/>
    <w:rsid w:val="003B2A78"/>
    <w:rsid w:val="003B2D7D"/>
    <w:rsid w:val="003B3610"/>
    <w:rsid w:val="003B4275"/>
    <w:rsid w:val="003B72C2"/>
    <w:rsid w:val="003C0693"/>
    <w:rsid w:val="003C0C8F"/>
    <w:rsid w:val="003C2A19"/>
    <w:rsid w:val="003C3320"/>
    <w:rsid w:val="003C34C6"/>
    <w:rsid w:val="003C6643"/>
    <w:rsid w:val="003C68FB"/>
    <w:rsid w:val="003D1F4F"/>
    <w:rsid w:val="003D2601"/>
    <w:rsid w:val="003D699E"/>
    <w:rsid w:val="003D7B75"/>
    <w:rsid w:val="003D7D1C"/>
    <w:rsid w:val="003E1301"/>
    <w:rsid w:val="003E3410"/>
    <w:rsid w:val="003E65D3"/>
    <w:rsid w:val="003F1CAF"/>
    <w:rsid w:val="003F258F"/>
    <w:rsid w:val="003F67E4"/>
    <w:rsid w:val="003F762D"/>
    <w:rsid w:val="003F7AF9"/>
    <w:rsid w:val="00401073"/>
    <w:rsid w:val="0040626B"/>
    <w:rsid w:val="004069A5"/>
    <w:rsid w:val="004125E0"/>
    <w:rsid w:val="00414889"/>
    <w:rsid w:val="00415358"/>
    <w:rsid w:val="004243D8"/>
    <w:rsid w:val="0042613C"/>
    <w:rsid w:val="00431D97"/>
    <w:rsid w:val="004364E9"/>
    <w:rsid w:val="004404FC"/>
    <w:rsid w:val="00441826"/>
    <w:rsid w:val="00442F5B"/>
    <w:rsid w:val="00443A59"/>
    <w:rsid w:val="00445661"/>
    <w:rsid w:val="0044627A"/>
    <w:rsid w:val="0044689D"/>
    <w:rsid w:val="00446E5C"/>
    <w:rsid w:val="004470E1"/>
    <w:rsid w:val="004473C5"/>
    <w:rsid w:val="00447A35"/>
    <w:rsid w:val="00450B81"/>
    <w:rsid w:val="00451CE8"/>
    <w:rsid w:val="004540FA"/>
    <w:rsid w:val="004568A6"/>
    <w:rsid w:val="0046124C"/>
    <w:rsid w:val="00461A59"/>
    <w:rsid w:val="00461E4A"/>
    <w:rsid w:val="00461E85"/>
    <w:rsid w:val="00467463"/>
    <w:rsid w:val="004706C7"/>
    <w:rsid w:val="00470F24"/>
    <w:rsid w:val="00474982"/>
    <w:rsid w:val="00474CAE"/>
    <w:rsid w:val="00474F62"/>
    <w:rsid w:val="00475BC2"/>
    <w:rsid w:val="00477BE1"/>
    <w:rsid w:val="00480F83"/>
    <w:rsid w:val="00482843"/>
    <w:rsid w:val="00483691"/>
    <w:rsid w:val="00487751"/>
    <w:rsid w:val="004900B1"/>
    <w:rsid w:val="00490E51"/>
    <w:rsid w:val="00492D2C"/>
    <w:rsid w:val="004944CB"/>
    <w:rsid w:val="00495AB9"/>
    <w:rsid w:val="004A1546"/>
    <w:rsid w:val="004A2803"/>
    <w:rsid w:val="004A3AB1"/>
    <w:rsid w:val="004A6377"/>
    <w:rsid w:val="004B4C09"/>
    <w:rsid w:val="004B58AF"/>
    <w:rsid w:val="004B60AE"/>
    <w:rsid w:val="004B6366"/>
    <w:rsid w:val="004C0502"/>
    <w:rsid w:val="004C224F"/>
    <w:rsid w:val="004C46BB"/>
    <w:rsid w:val="004C4FB2"/>
    <w:rsid w:val="004C532C"/>
    <w:rsid w:val="004C56CE"/>
    <w:rsid w:val="004C5D19"/>
    <w:rsid w:val="004C5F3D"/>
    <w:rsid w:val="004C6656"/>
    <w:rsid w:val="004C7B5A"/>
    <w:rsid w:val="004D1200"/>
    <w:rsid w:val="004D4D6D"/>
    <w:rsid w:val="004E07E5"/>
    <w:rsid w:val="004E19F3"/>
    <w:rsid w:val="004F0131"/>
    <w:rsid w:val="004F4657"/>
    <w:rsid w:val="00500BB0"/>
    <w:rsid w:val="005022AB"/>
    <w:rsid w:val="005037EE"/>
    <w:rsid w:val="00506221"/>
    <w:rsid w:val="00507978"/>
    <w:rsid w:val="005105B5"/>
    <w:rsid w:val="00510D93"/>
    <w:rsid w:val="00512B3F"/>
    <w:rsid w:val="00512EA1"/>
    <w:rsid w:val="0051392A"/>
    <w:rsid w:val="005218CC"/>
    <w:rsid w:val="00521F18"/>
    <w:rsid w:val="005235C4"/>
    <w:rsid w:val="005235F6"/>
    <w:rsid w:val="0052368F"/>
    <w:rsid w:val="00523994"/>
    <w:rsid w:val="00532526"/>
    <w:rsid w:val="00535A2A"/>
    <w:rsid w:val="00537A37"/>
    <w:rsid w:val="00540FF2"/>
    <w:rsid w:val="00545637"/>
    <w:rsid w:val="005522FA"/>
    <w:rsid w:val="00553556"/>
    <w:rsid w:val="00555884"/>
    <w:rsid w:val="005568FC"/>
    <w:rsid w:val="00560CD5"/>
    <w:rsid w:val="00561463"/>
    <w:rsid w:val="00561AB1"/>
    <w:rsid w:val="00561EFC"/>
    <w:rsid w:val="005646CF"/>
    <w:rsid w:val="00564904"/>
    <w:rsid w:val="00565CB5"/>
    <w:rsid w:val="00566798"/>
    <w:rsid w:val="00573DB7"/>
    <w:rsid w:val="005748F6"/>
    <w:rsid w:val="005755ED"/>
    <w:rsid w:val="005756C4"/>
    <w:rsid w:val="00590685"/>
    <w:rsid w:val="00590AAF"/>
    <w:rsid w:val="005917FB"/>
    <w:rsid w:val="00592580"/>
    <w:rsid w:val="00592C48"/>
    <w:rsid w:val="00596E3D"/>
    <w:rsid w:val="005A3262"/>
    <w:rsid w:val="005A6959"/>
    <w:rsid w:val="005B4448"/>
    <w:rsid w:val="005B5D81"/>
    <w:rsid w:val="005C2277"/>
    <w:rsid w:val="005C2FBA"/>
    <w:rsid w:val="005C792D"/>
    <w:rsid w:val="005D00E3"/>
    <w:rsid w:val="005D0E4D"/>
    <w:rsid w:val="005D2AB1"/>
    <w:rsid w:val="005D2B38"/>
    <w:rsid w:val="005E04BE"/>
    <w:rsid w:val="005E1288"/>
    <w:rsid w:val="005E1354"/>
    <w:rsid w:val="005E18DF"/>
    <w:rsid w:val="005E2EDF"/>
    <w:rsid w:val="005E4F3A"/>
    <w:rsid w:val="005E6421"/>
    <w:rsid w:val="005E6CC6"/>
    <w:rsid w:val="005E753C"/>
    <w:rsid w:val="005F010B"/>
    <w:rsid w:val="005F3FC7"/>
    <w:rsid w:val="005F4CBD"/>
    <w:rsid w:val="005F55CE"/>
    <w:rsid w:val="005F598E"/>
    <w:rsid w:val="005F5FD5"/>
    <w:rsid w:val="00601F98"/>
    <w:rsid w:val="00603AA6"/>
    <w:rsid w:val="00605889"/>
    <w:rsid w:val="006131B1"/>
    <w:rsid w:val="00613B9F"/>
    <w:rsid w:val="00615188"/>
    <w:rsid w:val="006151E0"/>
    <w:rsid w:val="006158BE"/>
    <w:rsid w:val="00615AD4"/>
    <w:rsid w:val="00622672"/>
    <w:rsid w:val="00626A0F"/>
    <w:rsid w:val="00630C97"/>
    <w:rsid w:val="00630F50"/>
    <w:rsid w:val="006317B6"/>
    <w:rsid w:val="00631E72"/>
    <w:rsid w:val="0063326B"/>
    <w:rsid w:val="006355B7"/>
    <w:rsid w:val="00635D7C"/>
    <w:rsid w:val="00636EEE"/>
    <w:rsid w:val="00637E06"/>
    <w:rsid w:val="0064233F"/>
    <w:rsid w:val="00643326"/>
    <w:rsid w:val="006436CA"/>
    <w:rsid w:val="006442F6"/>
    <w:rsid w:val="00646CC8"/>
    <w:rsid w:val="0065592A"/>
    <w:rsid w:val="00657680"/>
    <w:rsid w:val="00660EE1"/>
    <w:rsid w:val="0066222D"/>
    <w:rsid w:val="006670D7"/>
    <w:rsid w:val="00675317"/>
    <w:rsid w:val="00675DBF"/>
    <w:rsid w:val="00680321"/>
    <w:rsid w:val="00681252"/>
    <w:rsid w:val="00681846"/>
    <w:rsid w:val="006835ED"/>
    <w:rsid w:val="006856CF"/>
    <w:rsid w:val="00687E34"/>
    <w:rsid w:val="00692258"/>
    <w:rsid w:val="00693DDE"/>
    <w:rsid w:val="006A2376"/>
    <w:rsid w:val="006A4F1B"/>
    <w:rsid w:val="006A5BF7"/>
    <w:rsid w:val="006B068E"/>
    <w:rsid w:val="006B0AE8"/>
    <w:rsid w:val="006B6A90"/>
    <w:rsid w:val="006B7346"/>
    <w:rsid w:val="006C205B"/>
    <w:rsid w:val="006C2B68"/>
    <w:rsid w:val="006C30AB"/>
    <w:rsid w:val="006C48B2"/>
    <w:rsid w:val="006D4F10"/>
    <w:rsid w:val="006E16EA"/>
    <w:rsid w:val="006E540E"/>
    <w:rsid w:val="006F3B66"/>
    <w:rsid w:val="006F5606"/>
    <w:rsid w:val="00703281"/>
    <w:rsid w:val="0070505B"/>
    <w:rsid w:val="007052BD"/>
    <w:rsid w:val="00705DEF"/>
    <w:rsid w:val="0071051E"/>
    <w:rsid w:val="00716041"/>
    <w:rsid w:val="00716752"/>
    <w:rsid w:val="0071687A"/>
    <w:rsid w:val="00721456"/>
    <w:rsid w:val="00721ABA"/>
    <w:rsid w:val="00721B75"/>
    <w:rsid w:val="00723EAC"/>
    <w:rsid w:val="00724ED7"/>
    <w:rsid w:val="00727086"/>
    <w:rsid w:val="00731926"/>
    <w:rsid w:val="007365A2"/>
    <w:rsid w:val="007374CE"/>
    <w:rsid w:val="007429EF"/>
    <w:rsid w:val="00742B5C"/>
    <w:rsid w:val="00743858"/>
    <w:rsid w:val="00744422"/>
    <w:rsid w:val="0074744C"/>
    <w:rsid w:val="007504AA"/>
    <w:rsid w:val="007535A0"/>
    <w:rsid w:val="0075403C"/>
    <w:rsid w:val="00754BAB"/>
    <w:rsid w:val="007566A9"/>
    <w:rsid w:val="00756CE6"/>
    <w:rsid w:val="00757240"/>
    <w:rsid w:val="007573EA"/>
    <w:rsid w:val="007574CE"/>
    <w:rsid w:val="00760140"/>
    <w:rsid w:val="007617EA"/>
    <w:rsid w:val="007642D7"/>
    <w:rsid w:val="007656F3"/>
    <w:rsid w:val="00765D13"/>
    <w:rsid w:val="00765D54"/>
    <w:rsid w:val="00767313"/>
    <w:rsid w:val="00770215"/>
    <w:rsid w:val="007702AF"/>
    <w:rsid w:val="0077576B"/>
    <w:rsid w:val="007762E1"/>
    <w:rsid w:val="00780438"/>
    <w:rsid w:val="00781CC8"/>
    <w:rsid w:val="0078303C"/>
    <w:rsid w:val="007843B4"/>
    <w:rsid w:val="0079057A"/>
    <w:rsid w:val="00790C85"/>
    <w:rsid w:val="007924D8"/>
    <w:rsid w:val="00792E54"/>
    <w:rsid w:val="007A18CA"/>
    <w:rsid w:val="007A7D7D"/>
    <w:rsid w:val="007B011D"/>
    <w:rsid w:val="007B0297"/>
    <w:rsid w:val="007B0666"/>
    <w:rsid w:val="007B204F"/>
    <w:rsid w:val="007B270E"/>
    <w:rsid w:val="007B348E"/>
    <w:rsid w:val="007B5DCB"/>
    <w:rsid w:val="007C0241"/>
    <w:rsid w:val="007C02FE"/>
    <w:rsid w:val="007C1AD3"/>
    <w:rsid w:val="007C1F12"/>
    <w:rsid w:val="007D0263"/>
    <w:rsid w:val="007D1BA0"/>
    <w:rsid w:val="007D5539"/>
    <w:rsid w:val="007D79F1"/>
    <w:rsid w:val="007E116C"/>
    <w:rsid w:val="007E22D5"/>
    <w:rsid w:val="007E2FF0"/>
    <w:rsid w:val="007E372D"/>
    <w:rsid w:val="007E6B3A"/>
    <w:rsid w:val="007E6DF1"/>
    <w:rsid w:val="007E6FE6"/>
    <w:rsid w:val="007F125F"/>
    <w:rsid w:val="007F1BE2"/>
    <w:rsid w:val="007F22E5"/>
    <w:rsid w:val="00800430"/>
    <w:rsid w:val="00801A76"/>
    <w:rsid w:val="00803A74"/>
    <w:rsid w:val="00807872"/>
    <w:rsid w:val="00812FA0"/>
    <w:rsid w:val="008131F2"/>
    <w:rsid w:val="00814EA3"/>
    <w:rsid w:val="0081763C"/>
    <w:rsid w:val="0082071A"/>
    <w:rsid w:val="00822F67"/>
    <w:rsid w:val="00822F8B"/>
    <w:rsid w:val="00822FDA"/>
    <w:rsid w:val="00824D87"/>
    <w:rsid w:val="0083207A"/>
    <w:rsid w:val="008329D8"/>
    <w:rsid w:val="00833B50"/>
    <w:rsid w:val="00833FC1"/>
    <w:rsid w:val="008345A5"/>
    <w:rsid w:val="0083470D"/>
    <w:rsid w:val="00835720"/>
    <w:rsid w:val="008378DC"/>
    <w:rsid w:val="008510CE"/>
    <w:rsid w:val="0085188A"/>
    <w:rsid w:val="00853C51"/>
    <w:rsid w:val="00853CAB"/>
    <w:rsid w:val="00854E12"/>
    <w:rsid w:val="00856F7A"/>
    <w:rsid w:val="00857A15"/>
    <w:rsid w:val="00861381"/>
    <w:rsid w:val="0086353B"/>
    <w:rsid w:val="00863E6F"/>
    <w:rsid w:val="008673BD"/>
    <w:rsid w:val="00867A00"/>
    <w:rsid w:val="00873CF7"/>
    <w:rsid w:val="0087503F"/>
    <w:rsid w:val="008754F1"/>
    <w:rsid w:val="0087590E"/>
    <w:rsid w:val="00875C00"/>
    <w:rsid w:val="00880DB4"/>
    <w:rsid w:val="00881D51"/>
    <w:rsid w:val="00883522"/>
    <w:rsid w:val="008900A0"/>
    <w:rsid w:val="008904DB"/>
    <w:rsid w:val="00895737"/>
    <w:rsid w:val="008A2FA3"/>
    <w:rsid w:val="008A3472"/>
    <w:rsid w:val="008A5154"/>
    <w:rsid w:val="008A697D"/>
    <w:rsid w:val="008B18A9"/>
    <w:rsid w:val="008B79BA"/>
    <w:rsid w:val="008C246E"/>
    <w:rsid w:val="008C5539"/>
    <w:rsid w:val="008D5602"/>
    <w:rsid w:val="008D6FCA"/>
    <w:rsid w:val="008E32E0"/>
    <w:rsid w:val="008E4508"/>
    <w:rsid w:val="008E4946"/>
    <w:rsid w:val="008E569A"/>
    <w:rsid w:val="008F07C6"/>
    <w:rsid w:val="008F2D4C"/>
    <w:rsid w:val="008F4534"/>
    <w:rsid w:val="00902B7F"/>
    <w:rsid w:val="0090305B"/>
    <w:rsid w:val="009039E1"/>
    <w:rsid w:val="00903F8E"/>
    <w:rsid w:val="00906702"/>
    <w:rsid w:val="00910C9B"/>
    <w:rsid w:val="0091579A"/>
    <w:rsid w:val="00917F60"/>
    <w:rsid w:val="00922061"/>
    <w:rsid w:val="0092318E"/>
    <w:rsid w:val="009240E5"/>
    <w:rsid w:val="00925073"/>
    <w:rsid w:val="00932E32"/>
    <w:rsid w:val="00935269"/>
    <w:rsid w:val="0094040F"/>
    <w:rsid w:val="009409C3"/>
    <w:rsid w:val="009432D2"/>
    <w:rsid w:val="00943EC8"/>
    <w:rsid w:val="0094575A"/>
    <w:rsid w:val="0094729C"/>
    <w:rsid w:val="009543CB"/>
    <w:rsid w:val="00960834"/>
    <w:rsid w:val="009623E2"/>
    <w:rsid w:val="009627D7"/>
    <w:rsid w:val="00962C48"/>
    <w:rsid w:val="0096343A"/>
    <w:rsid w:val="00963CFF"/>
    <w:rsid w:val="00964F96"/>
    <w:rsid w:val="00966F03"/>
    <w:rsid w:val="009672F0"/>
    <w:rsid w:val="00974063"/>
    <w:rsid w:val="009775CE"/>
    <w:rsid w:val="00977A56"/>
    <w:rsid w:val="009808D5"/>
    <w:rsid w:val="0098156F"/>
    <w:rsid w:val="00981793"/>
    <w:rsid w:val="00982453"/>
    <w:rsid w:val="00982A87"/>
    <w:rsid w:val="0098419D"/>
    <w:rsid w:val="0098618A"/>
    <w:rsid w:val="00987889"/>
    <w:rsid w:val="00994E4E"/>
    <w:rsid w:val="00996624"/>
    <w:rsid w:val="009972A4"/>
    <w:rsid w:val="009A0B76"/>
    <w:rsid w:val="009A10A9"/>
    <w:rsid w:val="009A27A2"/>
    <w:rsid w:val="009A5185"/>
    <w:rsid w:val="009A536A"/>
    <w:rsid w:val="009A57DB"/>
    <w:rsid w:val="009A67C4"/>
    <w:rsid w:val="009B3FF8"/>
    <w:rsid w:val="009B7281"/>
    <w:rsid w:val="009C145A"/>
    <w:rsid w:val="009C321B"/>
    <w:rsid w:val="009C7DFB"/>
    <w:rsid w:val="009D6604"/>
    <w:rsid w:val="009D6A29"/>
    <w:rsid w:val="009D70FA"/>
    <w:rsid w:val="009E035D"/>
    <w:rsid w:val="009E1A6E"/>
    <w:rsid w:val="009E2AE4"/>
    <w:rsid w:val="009E4AA4"/>
    <w:rsid w:val="009E6203"/>
    <w:rsid w:val="009F0260"/>
    <w:rsid w:val="009F052C"/>
    <w:rsid w:val="009F0B4E"/>
    <w:rsid w:val="009F14FF"/>
    <w:rsid w:val="009F15EF"/>
    <w:rsid w:val="009F3B62"/>
    <w:rsid w:val="009F434A"/>
    <w:rsid w:val="009F6902"/>
    <w:rsid w:val="009F6EB4"/>
    <w:rsid w:val="00A02F3A"/>
    <w:rsid w:val="00A044A9"/>
    <w:rsid w:val="00A048CC"/>
    <w:rsid w:val="00A10DBB"/>
    <w:rsid w:val="00A15E2E"/>
    <w:rsid w:val="00A17B96"/>
    <w:rsid w:val="00A207EC"/>
    <w:rsid w:val="00A213C5"/>
    <w:rsid w:val="00A254CC"/>
    <w:rsid w:val="00A264B7"/>
    <w:rsid w:val="00A26BE7"/>
    <w:rsid w:val="00A322C0"/>
    <w:rsid w:val="00A32F34"/>
    <w:rsid w:val="00A35B13"/>
    <w:rsid w:val="00A36CC4"/>
    <w:rsid w:val="00A435E3"/>
    <w:rsid w:val="00A4488F"/>
    <w:rsid w:val="00A4525F"/>
    <w:rsid w:val="00A5708C"/>
    <w:rsid w:val="00A64E95"/>
    <w:rsid w:val="00A6795E"/>
    <w:rsid w:val="00A7293F"/>
    <w:rsid w:val="00A756C8"/>
    <w:rsid w:val="00A77B8F"/>
    <w:rsid w:val="00A80186"/>
    <w:rsid w:val="00A8103C"/>
    <w:rsid w:val="00A82F63"/>
    <w:rsid w:val="00A83E8F"/>
    <w:rsid w:val="00A848EE"/>
    <w:rsid w:val="00A9469C"/>
    <w:rsid w:val="00A94A6C"/>
    <w:rsid w:val="00AA08CF"/>
    <w:rsid w:val="00AA0A56"/>
    <w:rsid w:val="00AA136D"/>
    <w:rsid w:val="00AA1391"/>
    <w:rsid w:val="00AA26CB"/>
    <w:rsid w:val="00AA4217"/>
    <w:rsid w:val="00AA7606"/>
    <w:rsid w:val="00AA7B29"/>
    <w:rsid w:val="00AB02EE"/>
    <w:rsid w:val="00AB2C3F"/>
    <w:rsid w:val="00AB4DD9"/>
    <w:rsid w:val="00AB5AB2"/>
    <w:rsid w:val="00AC1D98"/>
    <w:rsid w:val="00AC7067"/>
    <w:rsid w:val="00AD09F0"/>
    <w:rsid w:val="00AD0B76"/>
    <w:rsid w:val="00AD1105"/>
    <w:rsid w:val="00AD1243"/>
    <w:rsid w:val="00AD1F02"/>
    <w:rsid w:val="00AD342A"/>
    <w:rsid w:val="00AD78C7"/>
    <w:rsid w:val="00AE0B00"/>
    <w:rsid w:val="00AE35FE"/>
    <w:rsid w:val="00AE40CA"/>
    <w:rsid w:val="00AE5293"/>
    <w:rsid w:val="00AE53AF"/>
    <w:rsid w:val="00AE6432"/>
    <w:rsid w:val="00AE7CA1"/>
    <w:rsid w:val="00AF0329"/>
    <w:rsid w:val="00AF071B"/>
    <w:rsid w:val="00AF0E56"/>
    <w:rsid w:val="00AF283E"/>
    <w:rsid w:val="00AF3BE6"/>
    <w:rsid w:val="00AF74BD"/>
    <w:rsid w:val="00B02E11"/>
    <w:rsid w:val="00B03F57"/>
    <w:rsid w:val="00B0641E"/>
    <w:rsid w:val="00B066AB"/>
    <w:rsid w:val="00B12D0D"/>
    <w:rsid w:val="00B15288"/>
    <w:rsid w:val="00B15BF5"/>
    <w:rsid w:val="00B1608B"/>
    <w:rsid w:val="00B16937"/>
    <w:rsid w:val="00B16C19"/>
    <w:rsid w:val="00B20EFF"/>
    <w:rsid w:val="00B21369"/>
    <w:rsid w:val="00B21E02"/>
    <w:rsid w:val="00B22A55"/>
    <w:rsid w:val="00B242EB"/>
    <w:rsid w:val="00B24EB7"/>
    <w:rsid w:val="00B30B27"/>
    <w:rsid w:val="00B31338"/>
    <w:rsid w:val="00B371D4"/>
    <w:rsid w:val="00B41571"/>
    <w:rsid w:val="00B43EE9"/>
    <w:rsid w:val="00B449C9"/>
    <w:rsid w:val="00B45681"/>
    <w:rsid w:val="00B479F9"/>
    <w:rsid w:val="00B53BC1"/>
    <w:rsid w:val="00B56B7F"/>
    <w:rsid w:val="00B602B3"/>
    <w:rsid w:val="00B62E81"/>
    <w:rsid w:val="00B634A7"/>
    <w:rsid w:val="00B6360B"/>
    <w:rsid w:val="00B646DE"/>
    <w:rsid w:val="00B64CD8"/>
    <w:rsid w:val="00B656BE"/>
    <w:rsid w:val="00B6615B"/>
    <w:rsid w:val="00B7111F"/>
    <w:rsid w:val="00B7361D"/>
    <w:rsid w:val="00B736AD"/>
    <w:rsid w:val="00B73B97"/>
    <w:rsid w:val="00B7495B"/>
    <w:rsid w:val="00B768AD"/>
    <w:rsid w:val="00B80A7F"/>
    <w:rsid w:val="00B8338C"/>
    <w:rsid w:val="00B903F8"/>
    <w:rsid w:val="00B92F18"/>
    <w:rsid w:val="00B93F3D"/>
    <w:rsid w:val="00B95066"/>
    <w:rsid w:val="00B95A22"/>
    <w:rsid w:val="00BA0831"/>
    <w:rsid w:val="00BA0EDE"/>
    <w:rsid w:val="00BA248D"/>
    <w:rsid w:val="00BA34CE"/>
    <w:rsid w:val="00BA4074"/>
    <w:rsid w:val="00BA5109"/>
    <w:rsid w:val="00BA5CA6"/>
    <w:rsid w:val="00BA7DBE"/>
    <w:rsid w:val="00BB18DC"/>
    <w:rsid w:val="00BB2A3C"/>
    <w:rsid w:val="00BB31CC"/>
    <w:rsid w:val="00BB42F1"/>
    <w:rsid w:val="00BB586D"/>
    <w:rsid w:val="00BC16B3"/>
    <w:rsid w:val="00BC21F5"/>
    <w:rsid w:val="00BC3EB7"/>
    <w:rsid w:val="00BC7A76"/>
    <w:rsid w:val="00BD0217"/>
    <w:rsid w:val="00BD4FEC"/>
    <w:rsid w:val="00BD6886"/>
    <w:rsid w:val="00BD69E4"/>
    <w:rsid w:val="00BE014F"/>
    <w:rsid w:val="00BE15DB"/>
    <w:rsid w:val="00BE2D7F"/>
    <w:rsid w:val="00BE4DE8"/>
    <w:rsid w:val="00BE5382"/>
    <w:rsid w:val="00BE7B17"/>
    <w:rsid w:val="00BF190F"/>
    <w:rsid w:val="00BF21FF"/>
    <w:rsid w:val="00BF4444"/>
    <w:rsid w:val="00BF4FD3"/>
    <w:rsid w:val="00C0112F"/>
    <w:rsid w:val="00C017C1"/>
    <w:rsid w:val="00C01CDF"/>
    <w:rsid w:val="00C04D7D"/>
    <w:rsid w:val="00C05AAC"/>
    <w:rsid w:val="00C06068"/>
    <w:rsid w:val="00C0650B"/>
    <w:rsid w:val="00C06A7E"/>
    <w:rsid w:val="00C06E98"/>
    <w:rsid w:val="00C0769F"/>
    <w:rsid w:val="00C07C09"/>
    <w:rsid w:val="00C12D23"/>
    <w:rsid w:val="00C140ED"/>
    <w:rsid w:val="00C17D73"/>
    <w:rsid w:val="00C21091"/>
    <w:rsid w:val="00C238AB"/>
    <w:rsid w:val="00C24D08"/>
    <w:rsid w:val="00C2549F"/>
    <w:rsid w:val="00C26CC2"/>
    <w:rsid w:val="00C27C5B"/>
    <w:rsid w:val="00C31F28"/>
    <w:rsid w:val="00C33B5E"/>
    <w:rsid w:val="00C340DA"/>
    <w:rsid w:val="00C3433E"/>
    <w:rsid w:val="00C346E6"/>
    <w:rsid w:val="00C40E69"/>
    <w:rsid w:val="00C448E5"/>
    <w:rsid w:val="00C464E8"/>
    <w:rsid w:val="00C478FF"/>
    <w:rsid w:val="00C50CFF"/>
    <w:rsid w:val="00C546C8"/>
    <w:rsid w:val="00C550D1"/>
    <w:rsid w:val="00C55838"/>
    <w:rsid w:val="00C571D8"/>
    <w:rsid w:val="00C6100F"/>
    <w:rsid w:val="00C63077"/>
    <w:rsid w:val="00C6344F"/>
    <w:rsid w:val="00C6398B"/>
    <w:rsid w:val="00C709B8"/>
    <w:rsid w:val="00C71440"/>
    <w:rsid w:val="00C71868"/>
    <w:rsid w:val="00C7210B"/>
    <w:rsid w:val="00C73A0C"/>
    <w:rsid w:val="00C740EA"/>
    <w:rsid w:val="00C758BA"/>
    <w:rsid w:val="00C7759C"/>
    <w:rsid w:val="00C818EA"/>
    <w:rsid w:val="00C825D8"/>
    <w:rsid w:val="00C83804"/>
    <w:rsid w:val="00C859C7"/>
    <w:rsid w:val="00C91097"/>
    <w:rsid w:val="00C92A99"/>
    <w:rsid w:val="00C92CD5"/>
    <w:rsid w:val="00C94B90"/>
    <w:rsid w:val="00C958EA"/>
    <w:rsid w:val="00C9609C"/>
    <w:rsid w:val="00C96361"/>
    <w:rsid w:val="00C97883"/>
    <w:rsid w:val="00C97DA8"/>
    <w:rsid w:val="00CA050F"/>
    <w:rsid w:val="00CA0EB8"/>
    <w:rsid w:val="00CA18B5"/>
    <w:rsid w:val="00CA19C3"/>
    <w:rsid w:val="00CA4E5A"/>
    <w:rsid w:val="00CA71F8"/>
    <w:rsid w:val="00CA78F7"/>
    <w:rsid w:val="00CB47C9"/>
    <w:rsid w:val="00CB4F62"/>
    <w:rsid w:val="00CB711D"/>
    <w:rsid w:val="00CC19E2"/>
    <w:rsid w:val="00CC3665"/>
    <w:rsid w:val="00CC50BC"/>
    <w:rsid w:val="00CC5B12"/>
    <w:rsid w:val="00CC628B"/>
    <w:rsid w:val="00CC6A74"/>
    <w:rsid w:val="00CC7542"/>
    <w:rsid w:val="00CD1AA3"/>
    <w:rsid w:val="00CD51D9"/>
    <w:rsid w:val="00CD69D8"/>
    <w:rsid w:val="00CE09F1"/>
    <w:rsid w:val="00CE1DB1"/>
    <w:rsid w:val="00CE1E46"/>
    <w:rsid w:val="00CE3D78"/>
    <w:rsid w:val="00CE539B"/>
    <w:rsid w:val="00CE58FE"/>
    <w:rsid w:val="00CF14B6"/>
    <w:rsid w:val="00CF241E"/>
    <w:rsid w:val="00CF5983"/>
    <w:rsid w:val="00CF646B"/>
    <w:rsid w:val="00D04B7B"/>
    <w:rsid w:val="00D056F4"/>
    <w:rsid w:val="00D07486"/>
    <w:rsid w:val="00D07872"/>
    <w:rsid w:val="00D07CE8"/>
    <w:rsid w:val="00D10234"/>
    <w:rsid w:val="00D10BE8"/>
    <w:rsid w:val="00D24976"/>
    <w:rsid w:val="00D253DA"/>
    <w:rsid w:val="00D25B5C"/>
    <w:rsid w:val="00D312B4"/>
    <w:rsid w:val="00D31D40"/>
    <w:rsid w:val="00D334C9"/>
    <w:rsid w:val="00D36AC1"/>
    <w:rsid w:val="00D42632"/>
    <w:rsid w:val="00D43A42"/>
    <w:rsid w:val="00D43C1F"/>
    <w:rsid w:val="00D5032E"/>
    <w:rsid w:val="00D53219"/>
    <w:rsid w:val="00D54719"/>
    <w:rsid w:val="00D54AC6"/>
    <w:rsid w:val="00D55C3D"/>
    <w:rsid w:val="00D55D80"/>
    <w:rsid w:val="00D57854"/>
    <w:rsid w:val="00D61EC8"/>
    <w:rsid w:val="00D66328"/>
    <w:rsid w:val="00D6724F"/>
    <w:rsid w:val="00D677E0"/>
    <w:rsid w:val="00D7014D"/>
    <w:rsid w:val="00D72007"/>
    <w:rsid w:val="00D743AD"/>
    <w:rsid w:val="00D75844"/>
    <w:rsid w:val="00D8160F"/>
    <w:rsid w:val="00D83331"/>
    <w:rsid w:val="00D90889"/>
    <w:rsid w:val="00D91C13"/>
    <w:rsid w:val="00D9207C"/>
    <w:rsid w:val="00D9288F"/>
    <w:rsid w:val="00D934F1"/>
    <w:rsid w:val="00D937D1"/>
    <w:rsid w:val="00D94562"/>
    <w:rsid w:val="00D951C0"/>
    <w:rsid w:val="00D95B63"/>
    <w:rsid w:val="00D97F2D"/>
    <w:rsid w:val="00DA2142"/>
    <w:rsid w:val="00DA467B"/>
    <w:rsid w:val="00DA6D21"/>
    <w:rsid w:val="00DA7C0C"/>
    <w:rsid w:val="00DB2512"/>
    <w:rsid w:val="00DB3211"/>
    <w:rsid w:val="00DB670A"/>
    <w:rsid w:val="00DB721D"/>
    <w:rsid w:val="00DC29DB"/>
    <w:rsid w:val="00DC2E6A"/>
    <w:rsid w:val="00DC3DA0"/>
    <w:rsid w:val="00DC422A"/>
    <w:rsid w:val="00DC6CFD"/>
    <w:rsid w:val="00DC7BB2"/>
    <w:rsid w:val="00DC7DE3"/>
    <w:rsid w:val="00DD2E5D"/>
    <w:rsid w:val="00DD4466"/>
    <w:rsid w:val="00DE10D0"/>
    <w:rsid w:val="00DE2EC8"/>
    <w:rsid w:val="00DE6A00"/>
    <w:rsid w:val="00DF056A"/>
    <w:rsid w:val="00DF1B48"/>
    <w:rsid w:val="00DF4AFF"/>
    <w:rsid w:val="00E03AA3"/>
    <w:rsid w:val="00E03AF9"/>
    <w:rsid w:val="00E14A85"/>
    <w:rsid w:val="00E14DA4"/>
    <w:rsid w:val="00E16AA3"/>
    <w:rsid w:val="00E16F00"/>
    <w:rsid w:val="00E17035"/>
    <w:rsid w:val="00E177DA"/>
    <w:rsid w:val="00E2136A"/>
    <w:rsid w:val="00E21E7A"/>
    <w:rsid w:val="00E22B41"/>
    <w:rsid w:val="00E230C5"/>
    <w:rsid w:val="00E24DD9"/>
    <w:rsid w:val="00E2603C"/>
    <w:rsid w:val="00E26396"/>
    <w:rsid w:val="00E271D8"/>
    <w:rsid w:val="00E27F2B"/>
    <w:rsid w:val="00E30203"/>
    <w:rsid w:val="00E32434"/>
    <w:rsid w:val="00E33343"/>
    <w:rsid w:val="00E3523A"/>
    <w:rsid w:val="00E43B82"/>
    <w:rsid w:val="00E44C60"/>
    <w:rsid w:val="00E45C95"/>
    <w:rsid w:val="00E51BFA"/>
    <w:rsid w:val="00E52EC0"/>
    <w:rsid w:val="00E54D61"/>
    <w:rsid w:val="00E5553C"/>
    <w:rsid w:val="00E56235"/>
    <w:rsid w:val="00E615D1"/>
    <w:rsid w:val="00E70C8A"/>
    <w:rsid w:val="00E7342E"/>
    <w:rsid w:val="00E75D1F"/>
    <w:rsid w:val="00E82101"/>
    <w:rsid w:val="00E8216C"/>
    <w:rsid w:val="00E8312A"/>
    <w:rsid w:val="00E85B4D"/>
    <w:rsid w:val="00E85D08"/>
    <w:rsid w:val="00E86476"/>
    <w:rsid w:val="00E86A86"/>
    <w:rsid w:val="00E86E5A"/>
    <w:rsid w:val="00E9001C"/>
    <w:rsid w:val="00E90CB4"/>
    <w:rsid w:val="00E931FD"/>
    <w:rsid w:val="00E951F4"/>
    <w:rsid w:val="00EA0256"/>
    <w:rsid w:val="00EA1B6C"/>
    <w:rsid w:val="00EA254F"/>
    <w:rsid w:val="00EA2864"/>
    <w:rsid w:val="00EA42F4"/>
    <w:rsid w:val="00EA4434"/>
    <w:rsid w:val="00EB3AA4"/>
    <w:rsid w:val="00EB5041"/>
    <w:rsid w:val="00EC23B6"/>
    <w:rsid w:val="00EC27EC"/>
    <w:rsid w:val="00EC73A8"/>
    <w:rsid w:val="00ED2CAB"/>
    <w:rsid w:val="00ED42CB"/>
    <w:rsid w:val="00ED48D0"/>
    <w:rsid w:val="00ED6E7B"/>
    <w:rsid w:val="00EE0332"/>
    <w:rsid w:val="00EE41C4"/>
    <w:rsid w:val="00EE48F9"/>
    <w:rsid w:val="00EE5585"/>
    <w:rsid w:val="00EE76C9"/>
    <w:rsid w:val="00EF1A6E"/>
    <w:rsid w:val="00EF3A8E"/>
    <w:rsid w:val="00EF3D7F"/>
    <w:rsid w:val="00F009F9"/>
    <w:rsid w:val="00F0222F"/>
    <w:rsid w:val="00F04535"/>
    <w:rsid w:val="00F120BA"/>
    <w:rsid w:val="00F17232"/>
    <w:rsid w:val="00F202FF"/>
    <w:rsid w:val="00F20628"/>
    <w:rsid w:val="00F20E1B"/>
    <w:rsid w:val="00F210FB"/>
    <w:rsid w:val="00F237FA"/>
    <w:rsid w:val="00F2390F"/>
    <w:rsid w:val="00F24E37"/>
    <w:rsid w:val="00F2652C"/>
    <w:rsid w:val="00F26F9D"/>
    <w:rsid w:val="00F300F4"/>
    <w:rsid w:val="00F30E8E"/>
    <w:rsid w:val="00F3243E"/>
    <w:rsid w:val="00F347E9"/>
    <w:rsid w:val="00F40B5D"/>
    <w:rsid w:val="00F45977"/>
    <w:rsid w:val="00F47EA7"/>
    <w:rsid w:val="00F513D7"/>
    <w:rsid w:val="00F5399F"/>
    <w:rsid w:val="00F5752F"/>
    <w:rsid w:val="00F6022F"/>
    <w:rsid w:val="00F63189"/>
    <w:rsid w:val="00F63F7C"/>
    <w:rsid w:val="00F703CB"/>
    <w:rsid w:val="00F718BD"/>
    <w:rsid w:val="00F733E6"/>
    <w:rsid w:val="00F735E5"/>
    <w:rsid w:val="00F74212"/>
    <w:rsid w:val="00F76483"/>
    <w:rsid w:val="00F775B9"/>
    <w:rsid w:val="00F80721"/>
    <w:rsid w:val="00F8091E"/>
    <w:rsid w:val="00F819AD"/>
    <w:rsid w:val="00F81C43"/>
    <w:rsid w:val="00F8222A"/>
    <w:rsid w:val="00F82839"/>
    <w:rsid w:val="00F83A6E"/>
    <w:rsid w:val="00F84A9C"/>
    <w:rsid w:val="00F84FBD"/>
    <w:rsid w:val="00F873EB"/>
    <w:rsid w:val="00F87A70"/>
    <w:rsid w:val="00FA10BB"/>
    <w:rsid w:val="00FA215B"/>
    <w:rsid w:val="00FA466F"/>
    <w:rsid w:val="00FA4B4E"/>
    <w:rsid w:val="00FA57CF"/>
    <w:rsid w:val="00FB059B"/>
    <w:rsid w:val="00FB077A"/>
    <w:rsid w:val="00FB0FB3"/>
    <w:rsid w:val="00FB1574"/>
    <w:rsid w:val="00FB3B33"/>
    <w:rsid w:val="00FB3B60"/>
    <w:rsid w:val="00FB72C0"/>
    <w:rsid w:val="00FC1143"/>
    <w:rsid w:val="00FC46A8"/>
    <w:rsid w:val="00FC5532"/>
    <w:rsid w:val="00FC7A99"/>
    <w:rsid w:val="00FD0AAC"/>
    <w:rsid w:val="00FD12CF"/>
    <w:rsid w:val="00FD5D31"/>
    <w:rsid w:val="00FD5ECF"/>
    <w:rsid w:val="00FE1FE8"/>
    <w:rsid w:val="00FE29F4"/>
    <w:rsid w:val="00FE5A73"/>
    <w:rsid w:val="00FE660D"/>
    <w:rsid w:val="00FF038A"/>
    <w:rsid w:val="00FF091A"/>
    <w:rsid w:val="00FF4A34"/>
    <w:rsid w:val="00FF700F"/>
    <w:rsid w:val="0866B432"/>
    <w:rsid w:val="0FE8462E"/>
    <w:rsid w:val="1A02176F"/>
    <w:rsid w:val="1F9B1F83"/>
    <w:rsid w:val="2158FC1B"/>
    <w:rsid w:val="27D1742B"/>
    <w:rsid w:val="2A36E981"/>
    <w:rsid w:val="2C536D28"/>
    <w:rsid w:val="2ED98F28"/>
    <w:rsid w:val="304F8138"/>
    <w:rsid w:val="31E87F94"/>
    <w:rsid w:val="3660CC5C"/>
    <w:rsid w:val="3A878784"/>
    <w:rsid w:val="3DA4B1A1"/>
    <w:rsid w:val="40DB8E3E"/>
    <w:rsid w:val="49C91CAC"/>
    <w:rsid w:val="4D7A0D00"/>
    <w:rsid w:val="52A2ACDF"/>
    <w:rsid w:val="52AF5865"/>
    <w:rsid w:val="573AB603"/>
    <w:rsid w:val="5E7F3548"/>
    <w:rsid w:val="62AAFDA4"/>
    <w:rsid w:val="695527DC"/>
    <w:rsid w:val="6A38DC44"/>
    <w:rsid w:val="6CCD0C7C"/>
    <w:rsid w:val="6EAB5542"/>
    <w:rsid w:val="7C3B1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5187C2"/>
  <w15:chartTrackingRefBased/>
  <w15:docId w15:val="{A4DB7186-19DB-4255-A623-5ADF2D7B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4A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120BA"/>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F120BA"/>
  </w:style>
  <w:style w:type="character" w:customStyle="1" w:styleId="eop">
    <w:name w:val="eop"/>
    <w:basedOn w:val="DefaultParagraphFont"/>
    <w:rsid w:val="00F120BA"/>
  </w:style>
  <w:style w:type="character" w:styleId="Hyperlink">
    <w:name w:val="Hyperlink"/>
    <w:basedOn w:val="DefaultParagraphFont"/>
    <w:uiPriority w:val="99"/>
    <w:unhideWhenUsed/>
    <w:rsid w:val="003B0ABF"/>
    <w:rPr>
      <w:color w:val="0563C1" w:themeColor="hyperlink"/>
      <w:u w:val="single"/>
    </w:rPr>
  </w:style>
  <w:style w:type="character" w:styleId="FollowedHyperlink">
    <w:name w:val="FollowedHyperlink"/>
    <w:basedOn w:val="DefaultParagraphFont"/>
    <w:uiPriority w:val="99"/>
    <w:semiHidden/>
    <w:unhideWhenUsed/>
    <w:rsid w:val="007656F3"/>
    <w:rPr>
      <w:color w:val="954F72" w:themeColor="followedHyperlink"/>
      <w:u w:val="single"/>
    </w:rPr>
  </w:style>
  <w:style w:type="paragraph" w:styleId="Caption">
    <w:name w:val="caption"/>
    <w:basedOn w:val="Normal"/>
    <w:next w:val="Normal"/>
    <w:uiPriority w:val="35"/>
    <w:unhideWhenUsed/>
    <w:qFormat/>
    <w:rsid w:val="005748F6"/>
    <w:pPr>
      <w:spacing w:after="200" w:line="240" w:lineRule="auto"/>
    </w:pPr>
    <w:rPr>
      <w:i/>
      <w:iCs/>
      <w:color w:val="44546A" w:themeColor="text2"/>
      <w:sz w:val="18"/>
      <w:szCs w:val="18"/>
    </w:rPr>
  </w:style>
  <w:style w:type="paragraph" w:styleId="ListParagraph">
    <w:name w:val="List Paragraph"/>
    <w:basedOn w:val="Normal"/>
    <w:uiPriority w:val="34"/>
    <w:qFormat/>
    <w:rsid w:val="008A3472"/>
    <w:pPr>
      <w:ind w:left="720"/>
      <w:contextualSpacing/>
    </w:pPr>
  </w:style>
  <w:style w:type="table" w:styleId="TableGrid">
    <w:name w:val="Table Grid"/>
    <w:basedOn w:val="TableNormal"/>
    <w:uiPriority w:val="39"/>
    <w:rsid w:val="009E0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464E8"/>
  </w:style>
  <w:style w:type="table" w:styleId="PlainTable1">
    <w:name w:val="Plain Table 1"/>
    <w:basedOn w:val="TableNormal"/>
    <w:uiPriority w:val="41"/>
    <w:rsid w:val="008E494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2">
    <w:name w:val="Grid Table 2 Accent 2"/>
    <w:basedOn w:val="TableNormal"/>
    <w:uiPriority w:val="47"/>
    <w:rsid w:val="005522F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5">
    <w:name w:val="Grid Table 2 Accent 5"/>
    <w:basedOn w:val="TableNormal"/>
    <w:uiPriority w:val="47"/>
    <w:rsid w:val="00E177D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192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EF6"/>
  </w:style>
  <w:style w:type="paragraph" w:styleId="Footer">
    <w:name w:val="footer"/>
    <w:basedOn w:val="Normal"/>
    <w:link w:val="FooterChar"/>
    <w:uiPriority w:val="99"/>
    <w:unhideWhenUsed/>
    <w:rsid w:val="00192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EF6"/>
  </w:style>
  <w:style w:type="character" w:customStyle="1" w:styleId="Heading1Char">
    <w:name w:val="Heading 1 Char"/>
    <w:basedOn w:val="DefaultParagraphFont"/>
    <w:link w:val="Heading1"/>
    <w:uiPriority w:val="9"/>
    <w:rsid w:val="00D54AC6"/>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C2A19"/>
    <w:pPr>
      <w:spacing w:after="0" w:line="240" w:lineRule="auto"/>
    </w:pPr>
  </w:style>
  <w:style w:type="paragraph" w:styleId="EndnoteText">
    <w:name w:val="endnote text"/>
    <w:basedOn w:val="Normal"/>
    <w:link w:val="EndnoteTextChar"/>
    <w:uiPriority w:val="99"/>
    <w:semiHidden/>
    <w:unhideWhenUsed/>
    <w:rsid w:val="003C2A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2A19"/>
    <w:rPr>
      <w:sz w:val="20"/>
      <w:szCs w:val="20"/>
    </w:rPr>
  </w:style>
  <w:style w:type="character" w:styleId="EndnoteReference">
    <w:name w:val="endnote reference"/>
    <w:basedOn w:val="DefaultParagraphFont"/>
    <w:uiPriority w:val="99"/>
    <w:semiHidden/>
    <w:unhideWhenUsed/>
    <w:rsid w:val="003C2A19"/>
    <w:rPr>
      <w:vertAlign w:val="superscript"/>
    </w:rPr>
  </w:style>
  <w:style w:type="paragraph" w:styleId="FootnoteText">
    <w:name w:val="footnote text"/>
    <w:basedOn w:val="Normal"/>
    <w:link w:val="FootnoteTextChar"/>
    <w:uiPriority w:val="99"/>
    <w:unhideWhenUsed/>
    <w:rsid w:val="003C2A19"/>
    <w:pPr>
      <w:spacing w:after="0" w:line="240" w:lineRule="auto"/>
    </w:pPr>
    <w:rPr>
      <w:sz w:val="20"/>
      <w:szCs w:val="20"/>
    </w:rPr>
  </w:style>
  <w:style w:type="character" w:customStyle="1" w:styleId="FootnoteTextChar">
    <w:name w:val="Footnote Text Char"/>
    <w:basedOn w:val="DefaultParagraphFont"/>
    <w:link w:val="FootnoteText"/>
    <w:uiPriority w:val="99"/>
    <w:qFormat/>
    <w:rsid w:val="003C2A19"/>
    <w:rPr>
      <w:sz w:val="20"/>
      <w:szCs w:val="20"/>
    </w:rPr>
  </w:style>
  <w:style w:type="character" w:styleId="FootnoteReference">
    <w:name w:val="footnote reference"/>
    <w:basedOn w:val="DefaultParagraphFont"/>
    <w:uiPriority w:val="99"/>
    <w:semiHidden/>
    <w:unhideWhenUsed/>
    <w:rsid w:val="003C2A19"/>
    <w:rPr>
      <w:vertAlign w:val="superscript"/>
    </w:rPr>
  </w:style>
  <w:style w:type="character" w:customStyle="1" w:styleId="InternetLink">
    <w:name w:val="Internet Link"/>
    <w:basedOn w:val="DefaultParagraphFont"/>
    <w:uiPriority w:val="99"/>
    <w:unhideWhenUsed/>
    <w:rsid w:val="003C2A19"/>
    <w:rPr>
      <w:color w:val="0000FF"/>
      <w:u w:val="single"/>
    </w:rPr>
  </w:style>
  <w:style w:type="character" w:styleId="CommentReference">
    <w:name w:val="annotation reference"/>
    <w:basedOn w:val="DefaultParagraphFont"/>
    <w:uiPriority w:val="99"/>
    <w:semiHidden/>
    <w:unhideWhenUsed/>
    <w:rsid w:val="00903F8E"/>
    <w:rPr>
      <w:sz w:val="16"/>
      <w:szCs w:val="16"/>
    </w:rPr>
  </w:style>
  <w:style w:type="paragraph" w:styleId="CommentText">
    <w:name w:val="annotation text"/>
    <w:basedOn w:val="Normal"/>
    <w:link w:val="CommentTextChar"/>
    <w:uiPriority w:val="99"/>
    <w:semiHidden/>
    <w:unhideWhenUsed/>
    <w:rsid w:val="00903F8E"/>
    <w:pPr>
      <w:spacing w:line="240" w:lineRule="auto"/>
    </w:pPr>
    <w:rPr>
      <w:sz w:val="20"/>
      <w:szCs w:val="20"/>
    </w:rPr>
  </w:style>
  <w:style w:type="character" w:customStyle="1" w:styleId="CommentTextChar">
    <w:name w:val="Comment Text Char"/>
    <w:basedOn w:val="DefaultParagraphFont"/>
    <w:link w:val="CommentText"/>
    <w:uiPriority w:val="99"/>
    <w:semiHidden/>
    <w:rsid w:val="00903F8E"/>
    <w:rPr>
      <w:sz w:val="20"/>
      <w:szCs w:val="20"/>
    </w:rPr>
  </w:style>
  <w:style w:type="paragraph" w:styleId="CommentSubject">
    <w:name w:val="annotation subject"/>
    <w:basedOn w:val="CommentText"/>
    <w:next w:val="CommentText"/>
    <w:link w:val="CommentSubjectChar"/>
    <w:uiPriority w:val="99"/>
    <w:semiHidden/>
    <w:unhideWhenUsed/>
    <w:rsid w:val="00903F8E"/>
    <w:rPr>
      <w:b/>
      <w:bCs/>
    </w:rPr>
  </w:style>
  <w:style w:type="character" w:customStyle="1" w:styleId="CommentSubjectChar">
    <w:name w:val="Comment Subject Char"/>
    <w:basedOn w:val="CommentTextChar"/>
    <w:link w:val="CommentSubject"/>
    <w:uiPriority w:val="99"/>
    <w:semiHidden/>
    <w:rsid w:val="00903F8E"/>
    <w:rPr>
      <w:b/>
      <w:bCs/>
      <w:sz w:val="20"/>
      <w:szCs w:val="20"/>
    </w:rPr>
  </w:style>
  <w:style w:type="paragraph" w:styleId="BalloonText">
    <w:name w:val="Balloon Text"/>
    <w:basedOn w:val="Normal"/>
    <w:link w:val="BalloonTextChar"/>
    <w:uiPriority w:val="99"/>
    <w:semiHidden/>
    <w:unhideWhenUsed/>
    <w:rsid w:val="00903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F8E"/>
    <w:rPr>
      <w:rFonts w:ascii="Segoe UI" w:hAnsi="Segoe UI" w:cs="Segoe UI"/>
      <w:sz w:val="18"/>
      <w:szCs w:val="18"/>
    </w:rPr>
  </w:style>
  <w:style w:type="character" w:customStyle="1" w:styleId="UnresolvedMention1">
    <w:name w:val="Unresolved Mention1"/>
    <w:basedOn w:val="DefaultParagraphFont"/>
    <w:uiPriority w:val="99"/>
    <w:semiHidden/>
    <w:unhideWhenUsed/>
    <w:rsid w:val="00E75D1F"/>
    <w:rPr>
      <w:color w:val="605E5C"/>
      <w:shd w:val="clear" w:color="auto" w:fill="E1DFDD"/>
    </w:rPr>
  </w:style>
  <w:style w:type="character" w:styleId="UnresolvedMention">
    <w:name w:val="Unresolved Mention"/>
    <w:basedOn w:val="DefaultParagraphFont"/>
    <w:uiPriority w:val="99"/>
    <w:semiHidden/>
    <w:unhideWhenUsed/>
    <w:rsid w:val="0039015A"/>
    <w:rPr>
      <w:color w:val="808080"/>
      <w:shd w:val="clear" w:color="auto" w:fill="E6E6E6"/>
    </w:rPr>
  </w:style>
  <w:style w:type="paragraph" w:styleId="NormalWeb">
    <w:name w:val="Normal (Web)"/>
    <w:basedOn w:val="Normal"/>
    <w:uiPriority w:val="99"/>
    <w:semiHidden/>
    <w:unhideWhenUsed/>
    <w:rsid w:val="00854E12"/>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4706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422898">
      <w:bodyDiv w:val="1"/>
      <w:marLeft w:val="0"/>
      <w:marRight w:val="0"/>
      <w:marTop w:val="0"/>
      <w:marBottom w:val="0"/>
      <w:divBdr>
        <w:top w:val="none" w:sz="0" w:space="0" w:color="auto"/>
        <w:left w:val="none" w:sz="0" w:space="0" w:color="auto"/>
        <w:bottom w:val="none" w:sz="0" w:space="0" w:color="auto"/>
        <w:right w:val="none" w:sz="0" w:space="0" w:color="auto"/>
      </w:divBdr>
    </w:div>
    <w:div w:id="675232808">
      <w:bodyDiv w:val="1"/>
      <w:marLeft w:val="0"/>
      <w:marRight w:val="0"/>
      <w:marTop w:val="0"/>
      <w:marBottom w:val="0"/>
      <w:divBdr>
        <w:top w:val="none" w:sz="0" w:space="0" w:color="auto"/>
        <w:left w:val="none" w:sz="0" w:space="0" w:color="auto"/>
        <w:bottom w:val="none" w:sz="0" w:space="0" w:color="auto"/>
        <w:right w:val="none" w:sz="0" w:space="0" w:color="auto"/>
      </w:divBdr>
      <w:divsChild>
        <w:div w:id="2095466599">
          <w:marLeft w:val="0"/>
          <w:marRight w:val="0"/>
          <w:marTop w:val="0"/>
          <w:marBottom w:val="0"/>
          <w:divBdr>
            <w:top w:val="none" w:sz="0" w:space="0" w:color="auto"/>
            <w:left w:val="none" w:sz="0" w:space="0" w:color="auto"/>
            <w:bottom w:val="none" w:sz="0" w:space="0" w:color="auto"/>
            <w:right w:val="none" w:sz="0" w:space="0" w:color="auto"/>
          </w:divBdr>
          <w:divsChild>
            <w:div w:id="1485196974">
              <w:marLeft w:val="0"/>
              <w:marRight w:val="0"/>
              <w:marTop w:val="0"/>
              <w:marBottom w:val="0"/>
              <w:divBdr>
                <w:top w:val="none" w:sz="0" w:space="0" w:color="auto"/>
                <w:left w:val="none" w:sz="0" w:space="0" w:color="auto"/>
                <w:bottom w:val="none" w:sz="0" w:space="0" w:color="auto"/>
                <w:right w:val="none" w:sz="0" w:space="0" w:color="auto"/>
              </w:divBdr>
              <w:divsChild>
                <w:div w:id="619839844">
                  <w:marLeft w:val="0"/>
                  <w:marRight w:val="0"/>
                  <w:marTop w:val="0"/>
                  <w:marBottom w:val="0"/>
                  <w:divBdr>
                    <w:top w:val="none" w:sz="0" w:space="0" w:color="auto"/>
                    <w:left w:val="none" w:sz="0" w:space="0" w:color="auto"/>
                    <w:bottom w:val="none" w:sz="0" w:space="0" w:color="auto"/>
                    <w:right w:val="none" w:sz="0" w:space="0" w:color="auto"/>
                  </w:divBdr>
                  <w:divsChild>
                    <w:div w:id="1463039468">
                      <w:marLeft w:val="0"/>
                      <w:marRight w:val="0"/>
                      <w:marTop w:val="0"/>
                      <w:marBottom w:val="0"/>
                      <w:divBdr>
                        <w:top w:val="none" w:sz="0" w:space="0" w:color="auto"/>
                        <w:left w:val="none" w:sz="0" w:space="0" w:color="auto"/>
                        <w:bottom w:val="none" w:sz="0" w:space="0" w:color="auto"/>
                        <w:right w:val="none" w:sz="0" w:space="0" w:color="auto"/>
                      </w:divBdr>
                      <w:divsChild>
                        <w:div w:id="379944954">
                          <w:marLeft w:val="0"/>
                          <w:marRight w:val="0"/>
                          <w:marTop w:val="0"/>
                          <w:marBottom w:val="0"/>
                          <w:divBdr>
                            <w:top w:val="none" w:sz="0" w:space="0" w:color="auto"/>
                            <w:left w:val="none" w:sz="0" w:space="0" w:color="auto"/>
                            <w:bottom w:val="none" w:sz="0" w:space="0" w:color="auto"/>
                            <w:right w:val="none" w:sz="0" w:space="0" w:color="auto"/>
                          </w:divBdr>
                          <w:divsChild>
                            <w:div w:id="2024083971">
                              <w:marLeft w:val="0"/>
                              <w:marRight w:val="0"/>
                              <w:marTop w:val="0"/>
                              <w:marBottom w:val="0"/>
                              <w:divBdr>
                                <w:top w:val="none" w:sz="0" w:space="0" w:color="auto"/>
                                <w:left w:val="none" w:sz="0" w:space="0" w:color="auto"/>
                                <w:bottom w:val="none" w:sz="0" w:space="0" w:color="auto"/>
                                <w:right w:val="none" w:sz="0" w:space="0" w:color="auto"/>
                              </w:divBdr>
                              <w:divsChild>
                                <w:div w:id="125970665">
                                  <w:marLeft w:val="0"/>
                                  <w:marRight w:val="0"/>
                                  <w:marTop w:val="0"/>
                                  <w:marBottom w:val="0"/>
                                  <w:divBdr>
                                    <w:top w:val="none" w:sz="0" w:space="0" w:color="auto"/>
                                    <w:left w:val="none" w:sz="0" w:space="0" w:color="auto"/>
                                    <w:bottom w:val="none" w:sz="0" w:space="0" w:color="auto"/>
                                    <w:right w:val="none" w:sz="0" w:space="0" w:color="auto"/>
                                  </w:divBdr>
                                  <w:divsChild>
                                    <w:div w:id="1660495064">
                                      <w:marLeft w:val="0"/>
                                      <w:marRight w:val="0"/>
                                      <w:marTop w:val="0"/>
                                      <w:marBottom w:val="0"/>
                                      <w:divBdr>
                                        <w:top w:val="none" w:sz="0" w:space="0" w:color="auto"/>
                                        <w:left w:val="none" w:sz="0" w:space="0" w:color="auto"/>
                                        <w:bottom w:val="none" w:sz="0" w:space="0" w:color="auto"/>
                                        <w:right w:val="none" w:sz="0" w:space="0" w:color="auto"/>
                                      </w:divBdr>
                                      <w:divsChild>
                                        <w:div w:id="1275092054">
                                          <w:marLeft w:val="0"/>
                                          <w:marRight w:val="0"/>
                                          <w:marTop w:val="0"/>
                                          <w:marBottom w:val="0"/>
                                          <w:divBdr>
                                            <w:top w:val="none" w:sz="0" w:space="0" w:color="auto"/>
                                            <w:left w:val="none" w:sz="0" w:space="0" w:color="auto"/>
                                            <w:bottom w:val="none" w:sz="0" w:space="0" w:color="auto"/>
                                            <w:right w:val="none" w:sz="0" w:space="0" w:color="auto"/>
                                          </w:divBdr>
                                          <w:divsChild>
                                            <w:div w:id="180779742">
                                              <w:marLeft w:val="0"/>
                                              <w:marRight w:val="0"/>
                                              <w:marTop w:val="0"/>
                                              <w:marBottom w:val="0"/>
                                              <w:divBdr>
                                                <w:top w:val="none" w:sz="0" w:space="0" w:color="auto"/>
                                                <w:left w:val="none" w:sz="0" w:space="0" w:color="auto"/>
                                                <w:bottom w:val="none" w:sz="0" w:space="0" w:color="auto"/>
                                                <w:right w:val="none" w:sz="0" w:space="0" w:color="auto"/>
                                              </w:divBdr>
                                              <w:divsChild>
                                                <w:div w:id="1985501174">
                                                  <w:marLeft w:val="0"/>
                                                  <w:marRight w:val="0"/>
                                                  <w:marTop w:val="0"/>
                                                  <w:marBottom w:val="0"/>
                                                  <w:divBdr>
                                                    <w:top w:val="none" w:sz="0" w:space="0" w:color="auto"/>
                                                    <w:left w:val="none" w:sz="0" w:space="0" w:color="auto"/>
                                                    <w:bottom w:val="none" w:sz="0" w:space="0" w:color="auto"/>
                                                    <w:right w:val="none" w:sz="0" w:space="0" w:color="auto"/>
                                                  </w:divBdr>
                                                  <w:divsChild>
                                                    <w:div w:id="977567502">
                                                      <w:marLeft w:val="0"/>
                                                      <w:marRight w:val="0"/>
                                                      <w:marTop w:val="0"/>
                                                      <w:marBottom w:val="0"/>
                                                      <w:divBdr>
                                                        <w:top w:val="none" w:sz="0" w:space="0" w:color="auto"/>
                                                        <w:left w:val="none" w:sz="0" w:space="0" w:color="auto"/>
                                                        <w:bottom w:val="none" w:sz="0" w:space="0" w:color="auto"/>
                                                        <w:right w:val="none" w:sz="0" w:space="0" w:color="auto"/>
                                                      </w:divBdr>
                                                      <w:divsChild>
                                                        <w:div w:id="614748861">
                                                          <w:marLeft w:val="0"/>
                                                          <w:marRight w:val="0"/>
                                                          <w:marTop w:val="0"/>
                                                          <w:marBottom w:val="0"/>
                                                          <w:divBdr>
                                                            <w:top w:val="none" w:sz="0" w:space="0" w:color="auto"/>
                                                            <w:left w:val="none" w:sz="0" w:space="0" w:color="auto"/>
                                                            <w:bottom w:val="none" w:sz="0" w:space="0" w:color="auto"/>
                                                            <w:right w:val="none" w:sz="0" w:space="0" w:color="auto"/>
                                                          </w:divBdr>
                                                          <w:divsChild>
                                                            <w:div w:id="849105523">
                                                              <w:marLeft w:val="0"/>
                                                              <w:marRight w:val="0"/>
                                                              <w:marTop w:val="0"/>
                                                              <w:marBottom w:val="0"/>
                                                              <w:divBdr>
                                                                <w:top w:val="none" w:sz="0" w:space="0" w:color="auto"/>
                                                                <w:left w:val="none" w:sz="0" w:space="0" w:color="auto"/>
                                                                <w:bottom w:val="none" w:sz="0" w:space="0" w:color="auto"/>
                                                                <w:right w:val="none" w:sz="0" w:space="0" w:color="auto"/>
                                                              </w:divBdr>
                                                              <w:divsChild>
                                                                <w:div w:id="1280336257">
                                                                  <w:marLeft w:val="-210"/>
                                                                  <w:marRight w:val="-75"/>
                                                                  <w:marTop w:val="0"/>
                                                                  <w:marBottom w:val="0"/>
                                                                  <w:divBdr>
                                                                    <w:top w:val="none" w:sz="0" w:space="0" w:color="auto"/>
                                                                    <w:left w:val="none" w:sz="0" w:space="0" w:color="auto"/>
                                                                    <w:bottom w:val="none" w:sz="0" w:space="0" w:color="auto"/>
                                                                    <w:right w:val="none" w:sz="0" w:space="0" w:color="auto"/>
                                                                  </w:divBdr>
                                                                  <w:divsChild>
                                                                    <w:div w:id="1077242336">
                                                                      <w:marLeft w:val="0"/>
                                                                      <w:marRight w:val="0"/>
                                                                      <w:marTop w:val="0"/>
                                                                      <w:marBottom w:val="0"/>
                                                                      <w:divBdr>
                                                                        <w:top w:val="none" w:sz="0" w:space="0" w:color="auto"/>
                                                                        <w:left w:val="none" w:sz="0" w:space="0" w:color="auto"/>
                                                                        <w:bottom w:val="none" w:sz="0" w:space="0" w:color="auto"/>
                                                                        <w:right w:val="none" w:sz="0" w:space="0" w:color="auto"/>
                                                                      </w:divBdr>
                                                                      <w:divsChild>
                                                                        <w:div w:id="68969390">
                                                                          <w:marLeft w:val="0"/>
                                                                          <w:marRight w:val="0"/>
                                                                          <w:marTop w:val="0"/>
                                                                          <w:marBottom w:val="0"/>
                                                                          <w:divBdr>
                                                                            <w:top w:val="none" w:sz="0" w:space="0" w:color="auto"/>
                                                                            <w:left w:val="none" w:sz="0" w:space="0" w:color="auto"/>
                                                                            <w:bottom w:val="none" w:sz="0" w:space="0" w:color="auto"/>
                                                                            <w:right w:val="none" w:sz="0" w:space="0" w:color="auto"/>
                                                                          </w:divBdr>
                                                                          <w:divsChild>
                                                                            <w:div w:id="1694503016">
                                                                              <w:marLeft w:val="0"/>
                                                                              <w:marRight w:val="0"/>
                                                                              <w:marTop w:val="0"/>
                                                                              <w:marBottom w:val="0"/>
                                                                              <w:divBdr>
                                                                                <w:top w:val="none" w:sz="0" w:space="0" w:color="auto"/>
                                                                                <w:left w:val="none" w:sz="0" w:space="0" w:color="auto"/>
                                                                                <w:bottom w:val="none" w:sz="0" w:space="0" w:color="auto"/>
                                                                                <w:right w:val="none" w:sz="0" w:space="0" w:color="auto"/>
                                                                              </w:divBdr>
                                                                              <w:divsChild>
                                                                                <w:div w:id="1074084450">
                                                                                  <w:marLeft w:val="0"/>
                                                                                  <w:marRight w:val="0"/>
                                                                                  <w:marTop w:val="0"/>
                                                                                  <w:marBottom w:val="0"/>
                                                                                  <w:divBdr>
                                                                                    <w:top w:val="none" w:sz="0" w:space="0" w:color="auto"/>
                                                                                    <w:left w:val="none" w:sz="0" w:space="0" w:color="auto"/>
                                                                                    <w:bottom w:val="none" w:sz="0" w:space="0" w:color="auto"/>
                                                                                    <w:right w:val="none" w:sz="0" w:space="0" w:color="auto"/>
                                                                                  </w:divBdr>
                                                                                  <w:divsChild>
                                                                                    <w:div w:id="227494899">
                                                                                      <w:marLeft w:val="0"/>
                                                                                      <w:marRight w:val="0"/>
                                                                                      <w:marTop w:val="0"/>
                                                                                      <w:marBottom w:val="0"/>
                                                                                      <w:divBdr>
                                                                                        <w:top w:val="none" w:sz="0" w:space="0" w:color="auto"/>
                                                                                        <w:left w:val="none" w:sz="0" w:space="0" w:color="auto"/>
                                                                                        <w:bottom w:val="none" w:sz="0" w:space="0" w:color="auto"/>
                                                                                        <w:right w:val="none" w:sz="0" w:space="0" w:color="auto"/>
                                                                                      </w:divBdr>
                                                                                      <w:divsChild>
                                                                                        <w:div w:id="2923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241146">
      <w:bodyDiv w:val="1"/>
      <w:marLeft w:val="0"/>
      <w:marRight w:val="0"/>
      <w:marTop w:val="0"/>
      <w:marBottom w:val="0"/>
      <w:divBdr>
        <w:top w:val="none" w:sz="0" w:space="0" w:color="auto"/>
        <w:left w:val="none" w:sz="0" w:space="0" w:color="auto"/>
        <w:bottom w:val="none" w:sz="0" w:space="0" w:color="auto"/>
        <w:right w:val="none" w:sz="0" w:space="0" w:color="auto"/>
      </w:divBdr>
      <w:divsChild>
        <w:div w:id="1452358341">
          <w:marLeft w:val="0"/>
          <w:marRight w:val="0"/>
          <w:marTop w:val="0"/>
          <w:marBottom w:val="0"/>
          <w:divBdr>
            <w:top w:val="none" w:sz="0" w:space="0" w:color="auto"/>
            <w:left w:val="none" w:sz="0" w:space="0" w:color="auto"/>
            <w:bottom w:val="none" w:sz="0" w:space="0" w:color="auto"/>
            <w:right w:val="none" w:sz="0" w:space="0" w:color="auto"/>
          </w:divBdr>
          <w:divsChild>
            <w:div w:id="1231618691">
              <w:marLeft w:val="0"/>
              <w:marRight w:val="0"/>
              <w:marTop w:val="0"/>
              <w:marBottom w:val="0"/>
              <w:divBdr>
                <w:top w:val="none" w:sz="0" w:space="0" w:color="auto"/>
                <w:left w:val="none" w:sz="0" w:space="0" w:color="auto"/>
                <w:bottom w:val="none" w:sz="0" w:space="0" w:color="auto"/>
                <w:right w:val="none" w:sz="0" w:space="0" w:color="auto"/>
              </w:divBdr>
              <w:divsChild>
                <w:div w:id="889463679">
                  <w:marLeft w:val="0"/>
                  <w:marRight w:val="0"/>
                  <w:marTop w:val="0"/>
                  <w:marBottom w:val="0"/>
                  <w:divBdr>
                    <w:top w:val="none" w:sz="0" w:space="0" w:color="auto"/>
                    <w:left w:val="none" w:sz="0" w:space="0" w:color="auto"/>
                    <w:bottom w:val="none" w:sz="0" w:space="0" w:color="auto"/>
                    <w:right w:val="none" w:sz="0" w:space="0" w:color="auto"/>
                  </w:divBdr>
                  <w:divsChild>
                    <w:div w:id="1014726269">
                      <w:marLeft w:val="0"/>
                      <w:marRight w:val="0"/>
                      <w:marTop w:val="0"/>
                      <w:marBottom w:val="0"/>
                      <w:divBdr>
                        <w:top w:val="none" w:sz="0" w:space="0" w:color="auto"/>
                        <w:left w:val="none" w:sz="0" w:space="0" w:color="auto"/>
                        <w:bottom w:val="none" w:sz="0" w:space="0" w:color="auto"/>
                        <w:right w:val="none" w:sz="0" w:space="0" w:color="auto"/>
                      </w:divBdr>
                      <w:divsChild>
                        <w:div w:id="1477454419">
                          <w:marLeft w:val="0"/>
                          <w:marRight w:val="0"/>
                          <w:marTop w:val="0"/>
                          <w:marBottom w:val="0"/>
                          <w:divBdr>
                            <w:top w:val="none" w:sz="0" w:space="0" w:color="auto"/>
                            <w:left w:val="none" w:sz="0" w:space="0" w:color="auto"/>
                            <w:bottom w:val="none" w:sz="0" w:space="0" w:color="auto"/>
                            <w:right w:val="none" w:sz="0" w:space="0" w:color="auto"/>
                          </w:divBdr>
                          <w:divsChild>
                            <w:div w:id="507214185">
                              <w:marLeft w:val="0"/>
                              <w:marRight w:val="0"/>
                              <w:marTop w:val="0"/>
                              <w:marBottom w:val="0"/>
                              <w:divBdr>
                                <w:top w:val="none" w:sz="0" w:space="0" w:color="auto"/>
                                <w:left w:val="none" w:sz="0" w:space="0" w:color="auto"/>
                                <w:bottom w:val="none" w:sz="0" w:space="0" w:color="auto"/>
                                <w:right w:val="none" w:sz="0" w:space="0" w:color="auto"/>
                              </w:divBdr>
                              <w:divsChild>
                                <w:div w:id="1565678309">
                                  <w:marLeft w:val="0"/>
                                  <w:marRight w:val="0"/>
                                  <w:marTop w:val="0"/>
                                  <w:marBottom w:val="0"/>
                                  <w:divBdr>
                                    <w:top w:val="none" w:sz="0" w:space="0" w:color="auto"/>
                                    <w:left w:val="none" w:sz="0" w:space="0" w:color="auto"/>
                                    <w:bottom w:val="none" w:sz="0" w:space="0" w:color="auto"/>
                                    <w:right w:val="none" w:sz="0" w:space="0" w:color="auto"/>
                                  </w:divBdr>
                                  <w:divsChild>
                                    <w:div w:id="93408500">
                                      <w:marLeft w:val="0"/>
                                      <w:marRight w:val="0"/>
                                      <w:marTop w:val="0"/>
                                      <w:marBottom w:val="0"/>
                                      <w:divBdr>
                                        <w:top w:val="none" w:sz="0" w:space="0" w:color="auto"/>
                                        <w:left w:val="none" w:sz="0" w:space="0" w:color="auto"/>
                                        <w:bottom w:val="none" w:sz="0" w:space="0" w:color="auto"/>
                                        <w:right w:val="none" w:sz="0" w:space="0" w:color="auto"/>
                                      </w:divBdr>
                                      <w:divsChild>
                                        <w:div w:id="2060930584">
                                          <w:marLeft w:val="0"/>
                                          <w:marRight w:val="0"/>
                                          <w:marTop w:val="0"/>
                                          <w:marBottom w:val="0"/>
                                          <w:divBdr>
                                            <w:top w:val="none" w:sz="0" w:space="0" w:color="auto"/>
                                            <w:left w:val="none" w:sz="0" w:space="0" w:color="auto"/>
                                            <w:bottom w:val="none" w:sz="0" w:space="0" w:color="auto"/>
                                            <w:right w:val="none" w:sz="0" w:space="0" w:color="auto"/>
                                          </w:divBdr>
                                          <w:divsChild>
                                            <w:div w:id="1938558473">
                                              <w:marLeft w:val="0"/>
                                              <w:marRight w:val="0"/>
                                              <w:marTop w:val="0"/>
                                              <w:marBottom w:val="0"/>
                                              <w:divBdr>
                                                <w:top w:val="none" w:sz="0" w:space="0" w:color="auto"/>
                                                <w:left w:val="none" w:sz="0" w:space="0" w:color="auto"/>
                                                <w:bottom w:val="none" w:sz="0" w:space="0" w:color="auto"/>
                                                <w:right w:val="none" w:sz="0" w:space="0" w:color="auto"/>
                                              </w:divBdr>
                                              <w:divsChild>
                                                <w:div w:id="1616600787">
                                                  <w:marLeft w:val="0"/>
                                                  <w:marRight w:val="0"/>
                                                  <w:marTop w:val="0"/>
                                                  <w:marBottom w:val="0"/>
                                                  <w:divBdr>
                                                    <w:top w:val="none" w:sz="0" w:space="0" w:color="auto"/>
                                                    <w:left w:val="none" w:sz="0" w:space="0" w:color="auto"/>
                                                    <w:bottom w:val="none" w:sz="0" w:space="0" w:color="auto"/>
                                                    <w:right w:val="none" w:sz="0" w:space="0" w:color="auto"/>
                                                  </w:divBdr>
                                                  <w:divsChild>
                                                    <w:div w:id="2096434616">
                                                      <w:marLeft w:val="0"/>
                                                      <w:marRight w:val="0"/>
                                                      <w:marTop w:val="0"/>
                                                      <w:marBottom w:val="0"/>
                                                      <w:divBdr>
                                                        <w:top w:val="none" w:sz="0" w:space="0" w:color="auto"/>
                                                        <w:left w:val="none" w:sz="0" w:space="0" w:color="auto"/>
                                                        <w:bottom w:val="none" w:sz="0" w:space="0" w:color="auto"/>
                                                        <w:right w:val="none" w:sz="0" w:space="0" w:color="auto"/>
                                                      </w:divBdr>
                                                      <w:divsChild>
                                                        <w:div w:id="1711687965">
                                                          <w:marLeft w:val="0"/>
                                                          <w:marRight w:val="0"/>
                                                          <w:marTop w:val="0"/>
                                                          <w:marBottom w:val="0"/>
                                                          <w:divBdr>
                                                            <w:top w:val="none" w:sz="0" w:space="0" w:color="auto"/>
                                                            <w:left w:val="none" w:sz="0" w:space="0" w:color="auto"/>
                                                            <w:bottom w:val="none" w:sz="0" w:space="0" w:color="auto"/>
                                                            <w:right w:val="none" w:sz="0" w:space="0" w:color="auto"/>
                                                          </w:divBdr>
                                                          <w:divsChild>
                                                            <w:div w:id="177430511">
                                                              <w:marLeft w:val="0"/>
                                                              <w:marRight w:val="0"/>
                                                              <w:marTop w:val="0"/>
                                                              <w:marBottom w:val="0"/>
                                                              <w:divBdr>
                                                                <w:top w:val="none" w:sz="0" w:space="0" w:color="auto"/>
                                                                <w:left w:val="none" w:sz="0" w:space="0" w:color="auto"/>
                                                                <w:bottom w:val="none" w:sz="0" w:space="0" w:color="auto"/>
                                                                <w:right w:val="none" w:sz="0" w:space="0" w:color="auto"/>
                                                              </w:divBdr>
                                                              <w:divsChild>
                                                                <w:div w:id="463737494">
                                                                  <w:marLeft w:val="-210"/>
                                                                  <w:marRight w:val="-75"/>
                                                                  <w:marTop w:val="0"/>
                                                                  <w:marBottom w:val="0"/>
                                                                  <w:divBdr>
                                                                    <w:top w:val="none" w:sz="0" w:space="0" w:color="auto"/>
                                                                    <w:left w:val="none" w:sz="0" w:space="0" w:color="auto"/>
                                                                    <w:bottom w:val="none" w:sz="0" w:space="0" w:color="auto"/>
                                                                    <w:right w:val="none" w:sz="0" w:space="0" w:color="auto"/>
                                                                  </w:divBdr>
                                                                  <w:divsChild>
                                                                    <w:div w:id="1957367456">
                                                                      <w:marLeft w:val="0"/>
                                                                      <w:marRight w:val="0"/>
                                                                      <w:marTop w:val="0"/>
                                                                      <w:marBottom w:val="0"/>
                                                                      <w:divBdr>
                                                                        <w:top w:val="none" w:sz="0" w:space="0" w:color="auto"/>
                                                                        <w:left w:val="none" w:sz="0" w:space="0" w:color="auto"/>
                                                                        <w:bottom w:val="none" w:sz="0" w:space="0" w:color="auto"/>
                                                                        <w:right w:val="none" w:sz="0" w:space="0" w:color="auto"/>
                                                                      </w:divBdr>
                                                                      <w:divsChild>
                                                                        <w:div w:id="417213553">
                                                                          <w:marLeft w:val="0"/>
                                                                          <w:marRight w:val="0"/>
                                                                          <w:marTop w:val="0"/>
                                                                          <w:marBottom w:val="0"/>
                                                                          <w:divBdr>
                                                                            <w:top w:val="none" w:sz="0" w:space="0" w:color="auto"/>
                                                                            <w:left w:val="none" w:sz="0" w:space="0" w:color="auto"/>
                                                                            <w:bottom w:val="none" w:sz="0" w:space="0" w:color="auto"/>
                                                                            <w:right w:val="none" w:sz="0" w:space="0" w:color="auto"/>
                                                                          </w:divBdr>
                                                                          <w:divsChild>
                                                                            <w:div w:id="2007318646">
                                                                              <w:marLeft w:val="0"/>
                                                                              <w:marRight w:val="0"/>
                                                                              <w:marTop w:val="0"/>
                                                                              <w:marBottom w:val="0"/>
                                                                              <w:divBdr>
                                                                                <w:top w:val="none" w:sz="0" w:space="0" w:color="auto"/>
                                                                                <w:left w:val="none" w:sz="0" w:space="0" w:color="auto"/>
                                                                                <w:bottom w:val="none" w:sz="0" w:space="0" w:color="auto"/>
                                                                                <w:right w:val="none" w:sz="0" w:space="0" w:color="auto"/>
                                                                              </w:divBdr>
                                                                              <w:divsChild>
                                                                                <w:div w:id="650066080">
                                                                                  <w:marLeft w:val="0"/>
                                                                                  <w:marRight w:val="0"/>
                                                                                  <w:marTop w:val="0"/>
                                                                                  <w:marBottom w:val="0"/>
                                                                                  <w:divBdr>
                                                                                    <w:top w:val="none" w:sz="0" w:space="0" w:color="auto"/>
                                                                                    <w:left w:val="none" w:sz="0" w:space="0" w:color="auto"/>
                                                                                    <w:bottom w:val="none" w:sz="0" w:space="0" w:color="auto"/>
                                                                                    <w:right w:val="none" w:sz="0" w:space="0" w:color="auto"/>
                                                                                  </w:divBdr>
                                                                                  <w:divsChild>
                                                                                    <w:div w:id="688021795">
                                                                                      <w:marLeft w:val="0"/>
                                                                                      <w:marRight w:val="0"/>
                                                                                      <w:marTop w:val="0"/>
                                                                                      <w:marBottom w:val="0"/>
                                                                                      <w:divBdr>
                                                                                        <w:top w:val="none" w:sz="0" w:space="0" w:color="auto"/>
                                                                                        <w:left w:val="none" w:sz="0" w:space="0" w:color="auto"/>
                                                                                        <w:bottom w:val="none" w:sz="0" w:space="0" w:color="auto"/>
                                                                                        <w:right w:val="none" w:sz="0" w:space="0" w:color="auto"/>
                                                                                      </w:divBdr>
                                                                                      <w:divsChild>
                                                                                        <w:div w:id="12500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762442">
      <w:bodyDiv w:val="1"/>
      <w:marLeft w:val="0"/>
      <w:marRight w:val="0"/>
      <w:marTop w:val="0"/>
      <w:marBottom w:val="0"/>
      <w:divBdr>
        <w:top w:val="none" w:sz="0" w:space="0" w:color="auto"/>
        <w:left w:val="none" w:sz="0" w:space="0" w:color="auto"/>
        <w:bottom w:val="none" w:sz="0" w:space="0" w:color="auto"/>
        <w:right w:val="none" w:sz="0" w:space="0" w:color="auto"/>
      </w:divBdr>
    </w:div>
    <w:div w:id="1068068217">
      <w:bodyDiv w:val="1"/>
      <w:marLeft w:val="0"/>
      <w:marRight w:val="0"/>
      <w:marTop w:val="0"/>
      <w:marBottom w:val="0"/>
      <w:divBdr>
        <w:top w:val="none" w:sz="0" w:space="0" w:color="auto"/>
        <w:left w:val="none" w:sz="0" w:space="0" w:color="auto"/>
        <w:bottom w:val="none" w:sz="0" w:space="0" w:color="auto"/>
        <w:right w:val="none" w:sz="0" w:space="0" w:color="auto"/>
      </w:divBdr>
    </w:div>
    <w:div w:id="1197813666">
      <w:bodyDiv w:val="1"/>
      <w:marLeft w:val="0"/>
      <w:marRight w:val="0"/>
      <w:marTop w:val="0"/>
      <w:marBottom w:val="0"/>
      <w:divBdr>
        <w:top w:val="none" w:sz="0" w:space="0" w:color="auto"/>
        <w:left w:val="none" w:sz="0" w:space="0" w:color="auto"/>
        <w:bottom w:val="none" w:sz="0" w:space="0" w:color="auto"/>
        <w:right w:val="none" w:sz="0" w:space="0" w:color="auto"/>
      </w:divBdr>
      <w:divsChild>
        <w:div w:id="679310746">
          <w:marLeft w:val="1166"/>
          <w:marRight w:val="0"/>
          <w:marTop w:val="96"/>
          <w:marBottom w:val="0"/>
          <w:divBdr>
            <w:top w:val="none" w:sz="0" w:space="0" w:color="auto"/>
            <w:left w:val="none" w:sz="0" w:space="0" w:color="auto"/>
            <w:bottom w:val="none" w:sz="0" w:space="0" w:color="auto"/>
            <w:right w:val="none" w:sz="0" w:space="0" w:color="auto"/>
          </w:divBdr>
        </w:div>
      </w:divsChild>
    </w:div>
    <w:div w:id="1294674149">
      <w:bodyDiv w:val="1"/>
      <w:marLeft w:val="0"/>
      <w:marRight w:val="0"/>
      <w:marTop w:val="0"/>
      <w:marBottom w:val="0"/>
      <w:divBdr>
        <w:top w:val="none" w:sz="0" w:space="0" w:color="auto"/>
        <w:left w:val="none" w:sz="0" w:space="0" w:color="auto"/>
        <w:bottom w:val="none" w:sz="0" w:space="0" w:color="auto"/>
        <w:right w:val="none" w:sz="0" w:space="0" w:color="auto"/>
      </w:divBdr>
    </w:div>
    <w:div w:id="1310597673">
      <w:bodyDiv w:val="1"/>
      <w:marLeft w:val="0"/>
      <w:marRight w:val="0"/>
      <w:marTop w:val="0"/>
      <w:marBottom w:val="0"/>
      <w:divBdr>
        <w:top w:val="none" w:sz="0" w:space="0" w:color="auto"/>
        <w:left w:val="none" w:sz="0" w:space="0" w:color="auto"/>
        <w:bottom w:val="none" w:sz="0" w:space="0" w:color="auto"/>
        <w:right w:val="none" w:sz="0" w:space="0" w:color="auto"/>
      </w:divBdr>
      <w:divsChild>
        <w:div w:id="152373604">
          <w:marLeft w:val="0"/>
          <w:marRight w:val="0"/>
          <w:marTop w:val="0"/>
          <w:marBottom w:val="0"/>
          <w:divBdr>
            <w:top w:val="none" w:sz="0" w:space="0" w:color="auto"/>
            <w:left w:val="none" w:sz="0" w:space="0" w:color="auto"/>
            <w:bottom w:val="none" w:sz="0" w:space="0" w:color="auto"/>
            <w:right w:val="none" w:sz="0" w:space="0" w:color="auto"/>
          </w:divBdr>
          <w:divsChild>
            <w:div w:id="1734962664">
              <w:marLeft w:val="0"/>
              <w:marRight w:val="0"/>
              <w:marTop w:val="0"/>
              <w:marBottom w:val="0"/>
              <w:divBdr>
                <w:top w:val="none" w:sz="0" w:space="0" w:color="auto"/>
                <w:left w:val="none" w:sz="0" w:space="0" w:color="auto"/>
                <w:bottom w:val="none" w:sz="0" w:space="0" w:color="auto"/>
                <w:right w:val="none" w:sz="0" w:space="0" w:color="auto"/>
              </w:divBdr>
              <w:divsChild>
                <w:div w:id="2001153103">
                  <w:marLeft w:val="0"/>
                  <w:marRight w:val="0"/>
                  <w:marTop w:val="0"/>
                  <w:marBottom w:val="0"/>
                  <w:divBdr>
                    <w:top w:val="none" w:sz="0" w:space="0" w:color="auto"/>
                    <w:left w:val="none" w:sz="0" w:space="0" w:color="auto"/>
                    <w:bottom w:val="none" w:sz="0" w:space="0" w:color="auto"/>
                    <w:right w:val="none" w:sz="0" w:space="0" w:color="auto"/>
                  </w:divBdr>
                  <w:divsChild>
                    <w:div w:id="1329597337">
                      <w:marLeft w:val="0"/>
                      <w:marRight w:val="0"/>
                      <w:marTop w:val="0"/>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sChild>
                            <w:div w:id="267666032">
                              <w:marLeft w:val="0"/>
                              <w:marRight w:val="0"/>
                              <w:marTop w:val="0"/>
                              <w:marBottom w:val="0"/>
                              <w:divBdr>
                                <w:top w:val="none" w:sz="0" w:space="0" w:color="auto"/>
                                <w:left w:val="none" w:sz="0" w:space="0" w:color="auto"/>
                                <w:bottom w:val="none" w:sz="0" w:space="0" w:color="auto"/>
                                <w:right w:val="none" w:sz="0" w:space="0" w:color="auto"/>
                              </w:divBdr>
                              <w:divsChild>
                                <w:div w:id="878475149">
                                  <w:marLeft w:val="0"/>
                                  <w:marRight w:val="0"/>
                                  <w:marTop w:val="0"/>
                                  <w:marBottom w:val="0"/>
                                  <w:divBdr>
                                    <w:top w:val="none" w:sz="0" w:space="0" w:color="auto"/>
                                    <w:left w:val="none" w:sz="0" w:space="0" w:color="auto"/>
                                    <w:bottom w:val="none" w:sz="0" w:space="0" w:color="auto"/>
                                    <w:right w:val="none" w:sz="0" w:space="0" w:color="auto"/>
                                  </w:divBdr>
                                  <w:divsChild>
                                    <w:div w:id="1930501267">
                                      <w:marLeft w:val="0"/>
                                      <w:marRight w:val="0"/>
                                      <w:marTop w:val="0"/>
                                      <w:marBottom w:val="0"/>
                                      <w:divBdr>
                                        <w:top w:val="none" w:sz="0" w:space="0" w:color="auto"/>
                                        <w:left w:val="none" w:sz="0" w:space="0" w:color="auto"/>
                                        <w:bottom w:val="none" w:sz="0" w:space="0" w:color="auto"/>
                                        <w:right w:val="none" w:sz="0" w:space="0" w:color="auto"/>
                                      </w:divBdr>
                                      <w:divsChild>
                                        <w:div w:id="1557935267">
                                          <w:marLeft w:val="0"/>
                                          <w:marRight w:val="0"/>
                                          <w:marTop w:val="0"/>
                                          <w:marBottom w:val="0"/>
                                          <w:divBdr>
                                            <w:top w:val="none" w:sz="0" w:space="0" w:color="auto"/>
                                            <w:left w:val="none" w:sz="0" w:space="0" w:color="auto"/>
                                            <w:bottom w:val="none" w:sz="0" w:space="0" w:color="auto"/>
                                            <w:right w:val="none" w:sz="0" w:space="0" w:color="auto"/>
                                          </w:divBdr>
                                          <w:divsChild>
                                            <w:div w:id="2103261597">
                                              <w:marLeft w:val="0"/>
                                              <w:marRight w:val="0"/>
                                              <w:marTop w:val="0"/>
                                              <w:marBottom w:val="0"/>
                                              <w:divBdr>
                                                <w:top w:val="none" w:sz="0" w:space="0" w:color="auto"/>
                                                <w:left w:val="none" w:sz="0" w:space="0" w:color="auto"/>
                                                <w:bottom w:val="none" w:sz="0" w:space="0" w:color="auto"/>
                                                <w:right w:val="none" w:sz="0" w:space="0" w:color="auto"/>
                                              </w:divBdr>
                                              <w:divsChild>
                                                <w:div w:id="1456605448">
                                                  <w:marLeft w:val="0"/>
                                                  <w:marRight w:val="0"/>
                                                  <w:marTop w:val="0"/>
                                                  <w:marBottom w:val="0"/>
                                                  <w:divBdr>
                                                    <w:top w:val="none" w:sz="0" w:space="0" w:color="auto"/>
                                                    <w:left w:val="none" w:sz="0" w:space="0" w:color="auto"/>
                                                    <w:bottom w:val="none" w:sz="0" w:space="0" w:color="auto"/>
                                                    <w:right w:val="none" w:sz="0" w:space="0" w:color="auto"/>
                                                  </w:divBdr>
                                                  <w:divsChild>
                                                    <w:div w:id="2117433892">
                                                      <w:marLeft w:val="0"/>
                                                      <w:marRight w:val="0"/>
                                                      <w:marTop w:val="0"/>
                                                      <w:marBottom w:val="0"/>
                                                      <w:divBdr>
                                                        <w:top w:val="none" w:sz="0" w:space="0" w:color="auto"/>
                                                        <w:left w:val="none" w:sz="0" w:space="0" w:color="auto"/>
                                                        <w:bottom w:val="none" w:sz="0" w:space="0" w:color="auto"/>
                                                        <w:right w:val="none" w:sz="0" w:space="0" w:color="auto"/>
                                                      </w:divBdr>
                                                      <w:divsChild>
                                                        <w:div w:id="991375910">
                                                          <w:marLeft w:val="0"/>
                                                          <w:marRight w:val="0"/>
                                                          <w:marTop w:val="0"/>
                                                          <w:marBottom w:val="0"/>
                                                          <w:divBdr>
                                                            <w:top w:val="none" w:sz="0" w:space="0" w:color="auto"/>
                                                            <w:left w:val="none" w:sz="0" w:space="0" w:color="auto"/>
                                                            <w:bottom w:val="none" w:sz="0" w:space="0" w:color="auto"/>
                                                            <w:right w:val="none" w:sz="0" w:space="0" w:color="auto"/>
                                                          </w:divBdr>
                                                          <w:divsChild>
                                                            <w:div w:id="641470750">
                                                              <w:marLeft w:val="0"/>
                                                              <w:marRight w:val="0"/>
                                                              <w:marTop w:val="0"/>
                                                              <w:marBottom w:val="0"/>
                                                              <w:divBdr>
                                                                <w:top w:val="none" w:sz="0" w:space="0" w:color="auto"/>
                                                                <w:left w:val="none" w:sz="0" w:space="0" w:color="auto"/>
                                                                <w:bottom w:val="none" w:sz="0" w:space="0" w:color="auto"/>
                                                                <w:right w:val="none" w:sz="0" w:space="0" w:color="auto"/>
                                                              </w:divBdr>
                                                              <w:divsChild>
                                                                <w:div w:id="1523933936">
                                                                  <w:marLeft w:val="-210"/>
                                                                  <w:marRight w:val="-75"/>
                                                                  <w:marTop w:val="0"/>
                                                                  <w:marBottom w:val="0"/>
                                                                  <w:divBdr>
                                                                    <w:top w:val="none" w:sz="0" w:space="0" w:color="auto"/>
                                                                    <w:left w:val="none" w:sz="0" w:space="0" w:color="auto"/>
                                                                    <w:bottom w:val="none" w:sz="0" w:space="0" w:color="auto"/>
                                                                    <w:right w:val="none" w:sz="0" w:space="0" w:color="auto"/>
                                                                  </w:divBdr>
                                                                  <w:divsChild>
                                                                    <w:div w:id="886453904">
                                                                      <w:marLeft w:val="0"/>
                                                                      <w:marRight w:val="0"/>
                                                                      <w:marTop w:val="0"/>
                                                                      <w:marBottom w:val="0"/>
                                                                      <w:divBdr>
                                                                        <w:top w:val="none" w:sz="0" w:space="0" w:color="auto"/>
                                                                        <w:left w:val="none" w:sz="0" w:space="0" w:color="auto"/>
                                                                        <w:bottom w:val="none" w:sz="0" w:space="0" w:color="auto"/>
                                                                        <w:right w:val="none" w:sz="0" w:space="0" w:color="auto"/>
                                                                      </w:divBdr>
                                                                      <w:divsChild>
                                                                        <w:div w:id="1736127296">
                                                                          <w:marLeft w:val="0"/>
                                                                          <w:marRight w:val="0"/>
                                                                          <w:marTop w:val="0"/>
                                                                          <w:marBottom w:val="0"/>
                                                                          <w:divBdr>
                                                                            <w:top w:val="none" w:sz="0" w:space="0" w:color="auto"/>
                                                                            <w:left w:val="none" w:sz="0" w:space="0" w:color="auto"/>
                                                                            <w:bottom w:val="none" w:sz="0" w:space="0" w:color="auto"/>
                                                                            <w:right w:val="none" w:sz="0" w:space="0" w:color="auto"/>
                                                                          </w:divBdr>
                                                                          <w:divsChild>
                                                                            <w:div w:id="835800089">
                                                                              <w:marLeft w:val="0"/>
                                                                              <w:marRight w:val="0"/>
                                                                              <w:marTop w:val="0"/>
                                                                              <w:marBottom w:val="0"/>
                                                                              <w:divBdr>
                                                                                <w:top w:val="none" w:sz="0" w:space="0" w:color="auto"/>
                                                                                <w:left w:val="none" w:sz="0" w:space="0" w:color="auto"/>
                                                                                <w:bottom w:val="none" w:sz="0" w:space="0" w:color="auto"/>
                                                                                <w:right w:val="none" w:sz="0" w:space="0" w:color="auto"/>
                                                                              </w:divBdr>
                                                                              <w:divsChild>
                                                                                <w:div w:id="96681733">
                                                                                  <w:marLeft w:val="0"/>
                                                                                  <w:marRight w:val="0"/>
                                                                                  <w:marTop w:val="0"/>
                                                                                  <w:marBottom w:val="0"/>
                                                                                  <w:divBdr>
                                                                                    <w:top w:val="none" w:sz="0" w:space="0" w:color="auto"/>
                                                                                    <w:left w:val="none" w:sz="0" w:space="0" w:color="auto"/>
                                                                                    <w:bottom w:val="none" w:sz="0" w:space="0" w:color="auto"/>
                                                                                    <w:right w:val="none" w:sz="0" w:space="0" w:color="auto"/>
                                                                                  </w:divBdr>
                                                                                  <w:divsChild>
                                                                                    <w:div w:id="831289369">
                                                                                      <w:marLeft w:val="0"/>
                                                                                      <w:marRight w:val="0"/>
                                                                                      <w:marTop w:val="0"/>
                                                                                      <w:marBottom w:val="0"/>
                                                                                      <w:divBdr>
                                                                                        <w:top w:val="none" w:sz="0" w:space="0" w:color="auto"/>
                                                                                        <w:left w:val="none" w:sz="0" w:space="0" w:color="auto"/>
                                                                                        <w:bottom w:val="none" w:sz="0" w:space="0" w:color="auto"/>
                                                                                        <w:right w:val="none" w:sz="0" w:space="0" w:color="auto"/>
                                                                                      </w:divBdr>
                                                                                      <w:divsChild>
                                                                                        <w:div w:id="4184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149476">
      <w:bodyDiv w:val="1"/>
      <w:marLeft w:val="0"/>
      <w:marRight w:val="0"/>
      <w:marTop w:val="0"/>
      <w:marBottom w:val="0"/>
      <w:divBdr>
        <w:top w:val="none" w:sz="0" w:space="0" w:color="auto"/>
        <w:left w:val="none" w:sz="0" w:space="0" w:color="auto"/>
        <w:bottom w:val="none" w:sz="0" w:space="0" w:color="auto"/>
        <w:right w:val="none" w:sz="0" w:space="0" w:color="auto"/>
      </w:divBdr>
    </w:div>
    <w:div w:id="1703938801">
      <w:bodyDiv w:val="1"/>
      <w:marLeft w:val="0"/>
      <w:marRight w:val="0"/>
      <w:marTop w:val="0"/>
      <w:marBottom w:val="0"/>
      <w:divBdr>
        <w:top w:val="none" w:sz="0" w:space="0" w:color="auto"/>
        <w:left w:val="none" w:sz="0" w:space="0" w:color="auto"/>
        <w:bottom w:val="none" w:sz="0" w:space="0" w:color="auto"/>
        <w:right w:val="none" w:sz="0" w:space="0" w:color="auto"/>
      </w:divBdr>
      <w:divsChild>
        <w:div w:id="1098671687">
          <w:marLeft w:val="0"/>
          <w:marRight w:val="0"/>
          <w:marTop w:val="0"/>
          <w:marBottom w:val="0"/>
          <w:divBdr>
            <w:top w:val="none" w:sz="0" w:space="0" w:color="auto"/>
            <w:left w:val="none" w:sz="0" w:space="0" w:color="auto"/>
            <w:bottom w:val="none" w:sz="0" w:space="0" w:color="auto"/>
            <w:right w:val="none" w:sz="0" w:space="0" w:color="auto"/>
          </w:divBdr>
          <w:divsChild>
            <w:div w:id="1584024910">
              <w:marLeft w:val="0"/>
              <w:marRight w:val="0"/>
              <w:marTop w:val="0"/>
              <w:marBottom w:val="0"/>
              <w:divBdr>
                <w:top w:val="none" w:sz="0" w:space="0" w:color="auto"/>
                <w:left w:val="none" w:sz="0" w:space="0" w:color="auto"/>
                <w:bottom w:val="none" w:sz="0" w:space="0" w:color="auto"/>
                <w:right w:val="none" w:sz="0" w:space="0" w:color="auto"/>
              </w:divBdr>
              <w:divsChild>
                <w:div w:id="1227372554">
                  <w:marLeft w:val="0"/>
                  <w:marRight w:val="0"/>
                  <w:marTop w:val="0"/>
                  <w:marBottom w:val="0"/>
                  <w:divBdr>
                    <w:top w:val="none" w:sz="0" w:space="0" w:color="auto"/>
                    <w:left w:val="none" w:sz="0" w:space="0" w:color="auto"/>
                    <w:bottom w:val="none" w:sz="0" w:space="0" w:color="auto"/>
                    <w:right w:val="none" w:sz="0" w:space="0" w:color="auto"/>
                  </w:divBdr>
                  <w:divsChild>
                    <w:div w:id="1925649097">
                      <w:marLeft w:val="0"/>
                      <w:marRight w:val="0"/>
                      <w:marTop w:val="0"/>
                      <w:marBottom w:val="0"/>
                      <w:divBdr>
                        <w:top w:val="none" w:sz="0" w:space="0" w:color="auto"/>
                        <w:left w:val="none" w:sz="0" w:space="0" w:color="auto"/>
                        <w:bottom w:val="none" w:sz="0" w:space="0" w:color="auto"/>
                        <w:right w:val="none" w:sz="0" w:space="0" w:color="auto"/>
                      </w:divBdr>
                      <w:divsChild>
                        <w:div w:id="220597632">
                          <w:marLeft w:val="0"/>
                          <w:marRight w:val="0"/>
                          <w:marTop w:val="0"/>
                          <w:marBottom w:val="0"/>
                          <w:divBdr>
                            <w:top w:val="none" w:sz="0" w:space="0" w:color="auto"/>
                            <w:left w:val="none" w:sz="0" w:space="0" w:color="auto"/>
                            <w:bottom w:val="none" w:sz="0" w:space="0" w:color="auto"/>
                            <w:right w:val="none" w:sz="0" w:space="0" w:color="auto"/>
                          </w:divBdr>
                          <w:divsChild>
                            <w:div w:id="104930069">
                              <w:marLeft w:val="0"/>
                              <w:marRight w:val="0"/>
                              <w:marTop w:val="0"/>
                              <w:marBottom w:val="0"/>
                              <w:divBdr>
                                <w:top w:val="none" w:sz="0" w:space="0" w:color="auto"/>
                                <w:left w:val="none" w:sz="0" w:space="0" w:color="auto"/>
                                <w:bottom w:val="none" w:sz="0" w:space="0" w:color="auto"/>
                                <w:right w:val="none" w:sz="0" w:space="0" w:color="auto"/>
                              </w:divBdr>
                              <w:divsChild>
                                <w:div w:id="1234781259">
                                  <w:marLeft w:val="0"/>
                                  <w:marRight w:val="0"/>
                                  <w:marTop w:val="0"/>
                                  <w:marBottom w:val="0"/>
                                  <w:divBdr>
                                    <w:top w:val="none" w:sz="0" w:space="0" w:color="auto"/>
                                    <w:left w:val="none" w:sz="0" w:space="0" w:color="auto"/>
                                    <w:bottom w:val="none" w:sz="0" w:space="0" w:color="auto"/>
                                    <w:right w:val="none" w:sz="0" w:space="0" w:color="auto"/>
                                  </w:divBdr>
                                  <w:divsChild>
                                    <w:div w:id="519011612">
                                      <w:marLeft w:val="0"/>
                                      <w:marRight w:val="0"/>
                                      <w:marTop w:val="0"/>
                                      <w:marBottom w:val="0"/>
                                      <w:divBdr>
                                        <w:top w:val="none" w:sz="0" w:space="0" w:color="auto"/>
                                        <w:left w:val="none" w:sz="0" w:space="0" w:color="auto"/>
                                        <w:bottom w:val="none" w:sz="0" w:space="0" w:color="auto"/>
                                        <w:right w:val="none" w:sz="0" w:space="0" w:color="auto"/>
                                      </w:divBdr>
                                      <w:divsChild>
                                        <w:div w:id="1785885234">
                                          <w:marLeft w:val="0"/>
                                          <w:marRight w:val="0"/>
                                          <w:marTop w:val="0"/>
                                          <w:marBottom w:val="0"/>
                                          <w:divBdr>
                                            <w:top w:val="none" w:sz="0" w:space="0" w:color="auto"/>
                                            <w:left w:val="none" w:sz="0" w:space="0" w:color="auto"/>
                                            <w:bottom w:val="none" w:sz="0" w:space="0" w:color="auto"/>
                                            <w:right w:val="none" w:sz="0" w:space="0" w:color="auto"/>
                                          </w:divBdr>
                                          <w:divsChild>
                                            <w:div w:id="900945021">
                                              <w:marLeft w:val="0"/>
                                              <w:marRight w:val="0"/>
                                              <w:marTop w:val="0"/>
                                              <w:marBottom w:val="0"/>
                                              <w:divBdr>
                                                <w:top w:val="none" w:sz="0" w:space="0" w:color="auto"/>
                                                <w:left w:val="none" w:sz="0" w:space="0" w:color="auto"/>
                                                <w:bottom w:val="none" w:sz="0" w:space="0" w:color="auto"/>
                                                <w:right w:val="none" w:sz="0" w:space="0" w:color="auto"/>
                                              </w:divBdr>
                                              <w:divsChild>
                                                <w:div w:id="2048329329">
                                                  <w:marLeft w:val="0"/>
                                                  <w:marRight w:val="0"/>
                                                  <w:marTop w:val="0"/>
                                                  <w:marBottom w:val="0"/>
                                                  <w:divBdr>
                                                    <w:top w:val="none" w:sz="0" w:space="0" w:color="auto"/>
                                                    <w:left w:val="none" w:sz="0" w:space="0" w:color="auto"/>
                                                    <w:bottom w:val="none" w:sz="0" w:space="0" w:color="auto"/>
                                                    <w:right w:val="none" w:sz="0" w:space="0" w:color="auto"/>
                                                  </w:divBdr>
                                                  <w:divsChild>
                                                    <w:div w:id="810751501">
                                                      <w:marLeft w:val="0"/>
                                                      <w:marRight w:val="0"/>
                                                      <w:marTop w:val="0"/>
                                                      <w:marBottom w:val="0"/>
                                                      <w:divBdr>
                                                        <w:top w:val="none" w:sz="0" w:space="0" w:color="auto"/>
                                                        <w:left w:val="none" w:sz="0" w:space="0" w:color="auto"/>
                                                        <w:bottom w:val="none" w:sz="0" w:space="0" w:color="auto"/>
                                                        <w:right w:val="none" w:sz="0" w:space="0" w:color="auto"/>
                                                      </w:divBdr>
                                                      <w:divsChild>
                                                        <w:div w:id="1994411738">
                                                          <w:marLeft w:val="0"/>
                                                          <w:marRight w:val="0"/>
                                                          <w:marTop w:val="0"/>
                                                          <w:marBottom w:val="0"/>
                                                          <w:divBdr>
                                                            <w:top w:val="none" w:sz="0" w:space="0" w:color="auto"/>
                                                            <w:left w:val="none" w:sz="0" w:space="0" w:color="auto"/>
                                                            <w:bottom w:val="none" w:sz="0" w:space="0" w:color="auto"/>
                                                            <w:right w:val="none" w:sz="0" w:space="0" w:color="auto"/>
                                                          </w:divBdr>
                                                          <w:divsChild>
                                                            <w:div w:id="332758074">
                                                              <w:marLeft w:val="0"/>
                                                              <w:marRight w:val="0"/>
                                                              <w:marTop w:val="0"/>
                                                              <w:marBottom w:val="0"/>
                                                              <w:divBdr>
                                                                <w:top w:val="none" w:sz="0" w:space="0" w:color="auto"/>
                                                                <w:left w:val="none" w:sz="0" w:space="0" w:color="auto"/>
                                                                <w:bottom w:val="none" w:sz="0" w:space="0" w:color="auto"/>
                                                                <w:right w:val="none" w:sz="0" w:space="0" w:color="auto"/>
                                                              </w:divBdr>
                                                              <w:divsChild>
                                                                <w:div w:id="1997490859">
                                                                  <w:marLeft w:val="-210"/>
                                                                  <w:marRight w:val="-75"/>
                                                                  <w:marTop w:val="0"/>
                                                                  <w:marBottom w:val="0"/>
                                                                  <w:divBdr>
                                                                    <w:top w:val="none" w:sz="0" w:space="0" w:color="auto"/>
                                                                    <w:left w:val="none" w:sz="0" w:space="0" w:color="auto"/>
                                                                    <w:bottom w:val="none" w:sz="0" w:space="0" w:color="auto"/>
                                                                    <w:right w:val="none" w:sz="0" w:space="0" w:color="auto"/>
                                                                  </w:divBdr>
                                                                  <w:divsChild>
                                                                    <w:div w:id="108478862">
                                                                      <w:marLeft w:val="0"/>
                                                                      <w:marRight w:val="0"/>
                                                                      <w:marTop w:val="0"/>
                                                                      <w:marBottom w:val="0"/>
                                                                      <w:divBdr>
                                                                        <w:top w:val="none" w:sz="0" w:space="0" w:color="auto"/>
                                                                        <w:left w:val="none" w:sz="0" w:space="0" w:color="auto"/>
                                                                        <w:bottom w:val="none" w:sz="0" w:space="0" w:color="auto"/>
                                                                        <w:right w:val="none" w:sz="0" w:space="0" w:color="auto"/>
                                                                      </w:divBdr>
                                                                      <w:divsChild>
                                                                        <w:div w:id="1994523668">
                                                                          <w:marLeft w:val="0"/>
                                                                          <w:marRight w:val="0"/>
                                                                          <w:marTop w:val="0"/>
                                                                          <w:marBottom w:val="0"/>
                                                                          <w:divBdr>
                                                                            <w:top w:val="none" w:sz="0" w:space="0" w:color="auto"/>
                                                                            <w:left w:val="none" w:sz="0" w:space="0" w:color="auto"/>
                                                                            <w:bottom w:val="none" w:sz="0" w:space="0" w:color="auto"/>
                                                                            <w:right w:val="none" w:sz="0" w:space="0" w:color="auto"/>
                                                                          </w:divBdr>
                                                                          <w:divsChild>
                                                                            <w:div w:id="1254246301">
                                                                              <w:marLeft w:val="0"/>
                                                                              <w:marRight w:val="0"/>
                                                                              <w:marTop w:val="0"/>
                                                                              <w:marBottom w:val="0"/>
                                                                              <w:divBdr>
                                                                                <w:top w:val="none" w:sz="0" w:space="0" w:color="auto"/>
                                                                                <w:left w:val="none" w:sz="0" w:space="0" w:color="auto"/>
                                                                                <w:bottom w:val="none" w:sz="0" w:space="0" w:color="auto"/>
                                                                                <w:right w:val="none" w:sz="0" w:space="0" w:color="auto"/>
                                                                              </w:divBdr>
                                                                              <w:divsChild>
                                                                                <w:div w:id="901251781">
                                                                                  <w:marLeft w:val="0"/>
                                                                                  <w:marRight w:val="0"/>
                                                                                  <w:marTop w:val="0"/>
                                                                                  <w:marBottom w:val="0"/>
                                                                                  <w:divBdr>
                                                                                    <w:top w:val="none" w:sz="0" w:space="0" w:color="auto"/>
                                                                                    <w:left w:val="none" w:sz="0" w:space="0" w:color="auto"/>
                                                                                    <w:bottom w:val="none" w:sz="0" w:space="0" w:color="auto"/>
                                                                                    <w:right w:val="none" w:sz="0" w:space="0" w:color="auto"/>
                                                                                  </w:divBdr>
                                                                                  <w:divsChild>
                                                                                    <w:div w:id="422145681">
                                                                                      <w:marLeft w:val="0"/>
                                                                                      <w:marRight w:val="0"/>
                                                                                      <w:marTop w:val="0"/>
                                                                                      <w:marBottom w:val="0"/>
                                                                                      <w:divBdr>
                                                                                        <w:top w:val="none" w:sz="0" w:space="0" w:color="auto"/>
                                                                                        <w:left w:val="none" w:sz="0" w:space="0" w:color="auto"/>
                                                                                        <w:bottom w:val="none" w:sz="0" w:space="0" w:color="auto"/>
                                                                                        <w:right w:val="none" w:sz="0" w:space="0" w:color="auto"/>
                                                                                      </w:divBdr>
                                                                                    </w:div>
                                                                                    <w:div w:id="480852860">
                                                                                      <w:marLeft w:val="0"/>
                                                                                      <w:marRight w:val="0"/>
                                                                                      <w:marTop w:val="0"/>
                                                                                      <w:marBottom w:val="0"/>
                                                                                      <w:divBdr>
                                                                                        <w:top w:val="none" w:sz="0" w:space="0" w:color="auto"/>
                                                                                        <w:left w:val="none" w:sz="0" w:space="0" w:color="auto"/>
                                                                                        <w:bottom w:val="none" w:sz="0" w:space="0" w:color="auto"/>
                                                                                        <w:right w:val="none" w:sz="0" w:space="0" w:color="auto"/>
                                                                                      </w:divBdr>
                                                                                    </w:div>
                                                                                    <w:div w:id="737635544">
                                                                                      <w:marLeft w:val="0"/>
                                                                                      <w:marRight w:val="0"/>
                                                                                      <w:marTop w:val="0"/>
                                                                                      <w:marBottom w:val="0"/>
                                                                                      <w:divBdr>
                                                                                        <w:top w:val="none" w:sz="0" w:space="0" w:color="auto"/>
                                                                                        <w:left w:val="none" w:sz="0" w:space="0" w:color="auto"/>
                                                                                        <w:bottom w:val="none" w:sz="0" w:space="0" w:color="auto"/>
                                                                                        <w:right w:val="none" w:sz="0" w:space="0" w:color="auto"/>
                                                                                      </w:divBdr>
                                                                                    </w:div>
                                                                                    <w:div w:id="785122063">
                                                                                      <w:marLeft w:val="0"/>
                                                                                      <w:marRight w:val="0"/>
                                                                                      <w:marTop w:val="0"/>
                                                                                      <w:marBottom w:val="0"/>
                                                                                      <w:divBdr>
                                                                                        <w:top w:val="none" w:sz="0" w:space="0" w:color="auto"/>
                                                                                        <w:left w:val="none" w:sz="0" w:space="0" w:color="auto"/>
                                                                                        <w:bottom w:val="none" w:sz="0" w:space="0" w:color="auto"/>
                                                                                        <w:right w:val="none" w:sz="0" w:space="0" w:color="auto"/>
                                                                                      </w:divBdr>
                                                                                    </w:div>
                                                                                    <w:div w:id="904756257">
                                                                                      <w:marLeft w:val="0"/>
                                                                                      <w:marRight w:val="0"/>
                                                                                      <w:marTop w:val="0"/>
                                                                                      <w:marBottom w:val="0"/>
                                                                                      <w:divBdr>
                                                                                        <w:top w:val="none" w:sz="0" w:space="0" w:color="auto"/>
                                                                                        <w:left w:val="none" w:sz="0" w:space="0" w:color="auto"/>
                                                                                        <w:bottom w:val="none" w:sz="0" w:space="0" w:color="auto"/>
                                                                                        <w:right w:val="none" w:sz="0" w:space="0" w:color="auto"/>
                                                                                      </w:divBdr>
                                                                                    </w:div>
                                                                                    <w:div w:id="1305047042">
                                                                                      <w:marLeft w:val="0"/>
                                                                                      <w:marRight w:val="0"/>
                                                                                      <w:marTop w:val="0"/>
                                                                                      <w:marBottom w:val="0"/>
                                                                                      <w:divBdr>
                                                                                        <w:top w:val="none" w:sz="0" w:space="0" w:color="auto"/>
                                                                                        <w:left w:val="none" w:sz="0" w:space="0" w:color="auto"/>
                                                                                        <w:bottom w:val="none" w:sz="0" w:space="0" w:color="auto"/>
                                                                                        <w:right w:val="none" w:sz="0" w:space="0" w:color="auto"/>
                                                                                      </w:divBdr>
                                                                                    </w:div>
                                                                                    <w:div w:id="151442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848319">
      <w:bodyDiv w:val="1"/>
      <w:marLeft w:val="0"/>
      <w:marRight w:val="0"/>
      <w:marTop w:val="0"/>
      <w:marBottom w:val="0"/>
      <w:divBdr>
        <w:top w:val="none" w:sz="0" w:space="0" w:color="auto"/>
        <w:left w:val="none" w:sz="0" w:space="0" w:color="auto"/>
        <w:bottom w:val="none" w:sz="0" w:space="0" w:color="auto"/>
        <w:right w:val="none" w:sz="0" w:space="0" w:color="auto"/>
      </w:divBdr>
    </w:div>
    <w:div w:id="1935088842">
      <w:bodyDiv w:val="1"/>
      <w:marLeft w:val="0"/>
      <w:marRight w:val="0"/>
      <w:marTop w:val="0"/>
      <w:marBottom w:val="0"/>
      <w:divBdr>
        <w:top w:val="none" w:sz="0" w:space="0" w:color="auto"/>
        <w:left w:val="none" w:sz="0" w:space="0" w:color="auto"/>
        <w:bottom w:val="none" w:sz="0" w:space="0" w:color="auto"/>
        <w:right w:val="none" w:sz="0" w:space="0" w:color="auto"/>
      </w:divBdr>
    </w:div>
    <w:div w:id="2072194095">
      <w:bodyDiv w:val="1"/>
      <w:marLeft w:val="0"/>
      <w:marRight w:val="0"/>
      <w:marTop w:val="0"/>
      <w:marBottom w:val="0"/>
      <w:divBdr>
        <w:top w:val="none" w:sz="0" w:space="0" w:color="auto"/>
        <w:left w:val="none" w:sz="0" w:space="0" w:color="auto"/>
        <w:bottom w:val="none" w:sz="0" w:space="0" w:color="auto"/>
        <w:right w:val="none" w:sz="0" w:space="0" w:color="auto"/>
      </w:divBdr>
    </w:div>
    <w:div w:id="214099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image" Target="media/image1.png"/><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www.pewtrusts.org/en/research-and-analysis/articles/2018/02/16/the-racial-wealth-gap-and-todays-american-drea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www.sentencingproject.org/wp-content/uploads/2016/06/The-Color-of-Justice-Racial-and-Ethnic-Disparity-in-State-Prisons.pdf" TargetMode="Externa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pr.org/books/titles/526656129/the-color-of-law-a-forgotten-history-of-how-our-government-segregated-america" TargetMode="External"/><Relationship Id="rId20" Type="http://schemas.openxmlformats.org/officeDocument/2006/relationships/hyperlink" Target="https://results.org/resources/2019-international-conference-resources/" TargetMode="External"/><Relationship Id="rId29" Type="http://schemas.openxmlformats.org/officeDocument/2006/relationships/hyperlink" Target="https://www.taxallianceforeconomicmobility.org/wp-content/uploads/2019/01/Tax_Alliance_Low-Income-Worker-Credit-Principles_2019-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https://www.everycrsreport.com/reports/R45736.html" TargetMode="External"/><Relationship Id="rId32" Type="http://schemas.openxmlformats.org/officeDocument/2006/relationships/footer" Target="footer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http://rooseveltinstitute.org/hidden-rules-new-tax-law/" TargetMode="External"/><Relationship Id="rId28"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yperlink" Target="https://prosperitynow.org/blog/wealth-building-wealthy-through-tax-code-continues-families-color-fall-further-behind"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https://prosperitynow.org/blog/how-us-tax-code-drives-inequality-and-what-we-can-do-fix-it" TargetMode="External"/><Relationship Id="rId27" Type="http://schemas.openxmlformats.org/officeDocument/2006/relationships/hyperlink" Target="https://prosperitynow.org/blog/tax-cuts-and-jobs-act-will-supercharge-racial-wealth-divide-finds-first-time-analysis" TargetMode="External"/><Relationship Id="rId30" Type="http://schemas.openxmlformats.org/officeDocument/2006/relationships/image" Target="media/image5.jp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3" Type="http://schemas.openxmlformats.org/officeDocument/2006/relationships/hyperlink" Target="https://www.theguardian.com/cities/2018/feb/21/roads-nowhere-infrastructure-american-inequality" TargetMode="External"/><Relationship Id="rId18" Type="http://schemas.openxmlformats.org/officeDocument/2006/relationships/hyperlink" Target="https://www.vox.com/2018/3/5/17080218/school-segregation-getting-worse-data" TargetMode="External"/><Relationship Id="rId26" Type="http://schemas.openxmlformats.org/officeDocument/2006/relationships/hyperlink" Target="https://www.thirteen.org/wnet/jimcrow/" TargetMode="External"/><Relationship Id="rId39" Type="http://schemas.openxmlformats.org/officeDocument/2006/relationships/hyperlink" Target="https://thehill.com/policy/finance/445830-tax-law-had-small-effect-on-economy-wages-study" TargetMode="External"/><Relationship Id="rId21" Type="http://schemas.openxmlformats.org/officeDocument/2006/relationships/hyperlink" Target="https://www.epi.org/publication/modern-segregation/" TargetMode="External"/><Relationship Id="rId34" Type="http://schemas.openxmlformats.org/officeDocument/2006/relationships/hyperlink" Target="https://results.org/resources/2019-international-conference-resources/" TargetMode="External"/><Relationship Id="rId42" Type="http://schemas.openxmlformats.org/officeDocument/2006/relationships/hyperlink" Target="https://www.taxpolicycenter.org/briefing-book/how-does-deduction-state-and-local-taxes-work" TargetMode="External"/><Relationship Id="rId47" Type="http://schemas.openxmlformats.org/officeDocument/2006/relationships/hyperlink" Target="https://www.taxpolicycenter.org/taxvox/fixing-tcja-restoring-estate-taxs-exemption-levels" TargetMode="External"/><Relationship Id="rId50" Type="http://schemas.openxmlformats.org/officeDocument/2006/relationships/hyperlink" Target="https://www.americanprogress.org/issues/economy/news/2018/06/14/452195/congress-not-give-second-helping-tax-cuts-rich/" TargetMode="External"/><Relationship Id="rId55" Type="http://schemas.openxmlformats.org/officeDocument/2006/relationships/hyperlink" Target="https://itep.org/race-wealth-and-taxes-how-the-tax-cuts-and-jobs-act-supercharges-the-racial-wealth-divide/" TargetMode="External"/><Relationship Id="rId7" Type="http://schemas.openxmlformats.org/officeDocument/2006/relationships/hyperlink" Target="https://www.npr.org/books/titles/526656129/the-color-of-law-a-forgotten-history-of-how-our-government-segregated-america" TargetMode="External"/><Relationship Id="rId12" Type="http://schemas.openxmlformats.org/officeDocument/2006/relationships/hyperlink" Target="https://www.npr.org/2017/05/03/526655831/a-forgotten-history-of-how-the-u-s-government-segregated-america" TargetMode="External"/><Relationship Id="rId17" Type="http://schemas.openxmlformats.org/officeDocument/2006/relationships/hyperlink" Target="https://s4.ad.brown.edu/Projects/Diversity/Data/Report/report111111.pdf" TargetMode="External"/><Relationship Id="rId25" Type="http://schemas.openxmlformats.org/officeDocument/2006/relationships/hyperlink" Target="https://www.history.com/topics/world-war-ii/gi-bill" TargetMode="External"/><Relationship Id="rId33" Type="http://schemas.openxmlformats.org/officeDocument/2006/relationships/hyperlink" Target="https://prosperitynow.org/blog/wealth-building-wealthy-through-tax-code-continues-families-color-fall-further-behind" TargetMode="External"/><Relationship Id="rId38" Type="http://schemas.openxmlformats.org/officeDocument/2006/relationships/hyperlink" Target="https://www.everycrsreport.com/files/20190522_R45736_8a1214e903ee2b719e00731791d60f26d75d35f4.pdf" TargetMode="External"/><Relationship Id="rId46" Type="http://schemas.openxmlformats.org/officeDocument/2006/relationships/hyperlink" Target="https://www.taxpolicycenter.org/briefing-book/how-many-people-pay-estate-tax" TargetMode="External"/><Relationship Id="rId2" Type="http://schemas.openxmlformats.org/officeDocument/2006/relationships/hyperlink" Target="http://files.bread.org/institute/simulation/Racial-Wealth-Gap-Policy-Packet.pdf?_ga=2.159261306.1788427538.1530137179-966109393.1526321415" TargetMode="External"/><Relationship Id="rId16" Type="http://schemas.openxmlformats.org/officeDocument/2006/relationships/hyperlink" Target="https://inequality.org/facts/wealth-inequality/" TargetMode="External"/><Relationship Id="rId20" Type="http://schemas.openxmlformats.org/officeDocument/2006/relationships/hyperlink" Target="https://www.brookings.edu/research/devaluation-of-assets-in-black-neighborhoods/" TargetMode="External"/><Relationship Id="rId29" Type="http://schemas.openxmlformats.org/officeDocument/2006/relationships/hyperlink" Target="https://www.brookings.edu/events/racial-wealth-inequality-social-problems-and-solutions/" TargetMode="External"/><Relationship Id="rId41" Type="http://schemas.openxmlformats.org/officeDocument/2006/relationships/hyperlink" Target="https://www.vox.com/policy-and-politics/2019/5/29/18642928/trump-tax-cuts-and-jobs-act-analysis" TargetMode="External"/><Relationship Id="rId54" Type="http://schemas.openxmlformats.org/officeDocument/2006/relationships/hyperlink" Target="https://www.taxallianceforeconomicmobility.org/wp-content/uploads/2019/01/Tax_Alliance_Low-Income-Worker-Credit-Principles_2019-FINAL.pdf" TargetMode="External"/><Relationship Id="rId1" Type="http://schemas.openxmlformats.org/officeDocument/2006/relationships/hyperlink" Target="https://prosperitynow.org/files/resources/Running_in_Place_FINAL_3.2018.pdf" TargetMode="External"/><Relationship Id="rId6" Type="http://schemas.openxmlformats.org/officeDocument/2006/relationships/hyperlink" Target="https://www.history.com/topics/early-20th-century-us/jim-crow-laws" TargetMode="External"/><Relationship Id="rId11" Type="http://schemas.openxmlformats.org/officeDocument/2006/relationships/hyperlink" Target="https://www.npr.org/2017/05/03/526655831/a-forgotten-history-of-how-the-u-s-government-segregated-america" TargetMode="External"/><Relationship Id="rId24" Type="http://schemas.openxmlformats.org/officeDocument/2006/relationships/hyperlink" Target="https://prosperitynow.org/files/resources/The_Ever_Growing_Gap-CFED_IPS-Final.pdf" TargetMode="External"/><Relationship Id="rId32" Type="http://schemas.openxmlformats.org/officeDocument/2006/relationships/hyperlink" Target="https://www.nytimes.com/2018/09/12/business/middle-class-financial-crisis.html" TargetMode="External"/><Relationship Id="rId37" Type="http://schemas.openxmlformats.org/officeDocument/2006/relationships/hyperlink" Target="https://iasp.brandeis.edu/pdfs/2017/NLIHC-IASP_MID-Report.pdf" TargetMode="External"/><Relationship Id="rId40" Type="http://schemas.openxmlformats.org/officeDocument/2006/relationships/hyperlink" Target="https://www.washingtonpost.com/news/wonk/wp/2017/12/15/the-final-gop-tax-bill-is-complete-heres-what-is-in-it/?noredirect=on&amp;utm_term=.bf09ac9e9095" TargetMode="External"/><Relationship Id="rId45" Type="http://schemas.openxmlformats.org/officeDocument/2006/relationships/hyperlink" Target="https://www.cbpp.org/blog/6-ways-the-2017-tax-law-hurts-low-and-moderate-income-households" TargetMode="External"/><Relationship Id="rId53" Type="http://schemas.openxmlformats.org/officeDocument/2006/relationships/hyperlink" Target="https://prosperitynow.org/sites/default/files/resources/ITEP-Prosperity_Now-Race_Wealth_and_Taxes-FULL%20REPORT-FINAL_6.pdf" TargetMode="External"/><Relationship Id="rId5" Type="http://schemas.openxmlformats.org/officeDocument/2006/relationships/hyperlink" Target="https://www.pbs.org/wgbh/americanexperience/features/freedom-riders-jim-crow-laws/" TargetMode="External"/><Relationship Id="rId15" Type="http://schemas.openxmlformats.org/officeDocument/2006/relationships/hyperlink" Target="https://portal.hud.gov/hudportal/HUD?src=/program_offices/fair_housing_equal_opp/progdesc/title8" TargetMode="External"/><Relationship Id="rId23" Type="http://schemas.openxmlformats.org/officeDocument/2006/relationships/hyperlink" Target="https://www.huduser.gov/portal/periodicals/em/winter11/highlight2.html" TargetMode="External"/><Relationship Id="rId28" Type="http://schemas.openxmlformats.org/officeDocument/2006/relationships/hyperlink" Target="http://www.pewresearch.org/fact-tank/2014/12/12/racial-wealth-gaps-great-recession/" TargetMode="External"/><Relationship Id="rId36" Type="http://schemas.openxmlformats.org/officeDocument/2006/relationships/hyperlink" Target="https://iasp.brandeis.edu/pdfs/2017/NLIHC-IASP_MID-Report.pdf" TargetMode="External"/><Relationship Id="rId49" Type="http://schemas.openxmlformats.org/officeDocument/2006/relationships/hyperlink" Target="https://www.theguardian.com/us-news/2018/oct/16/mitch-mcconnell-federal-budget-deficit-tax-cuts.2018" TargetMode="External"/><Relationship Id="rId10" Type="http://schemas.openxmlformats.org/officeDocument/2006/relationships/hyperlink" Target="http://www.investopedia.com/terms/z/zoning.asp" TargetMode="External"/><Relationship Id="rId19" Type="http://schemas.openxmlformats.org/officeDocument/2006/relationships/hyperlink" Target="https://journals.sagepub.com/doi/full/10.1177/0003122415588558" TargetMode="External"/><Relationship Id="rId31" Type="http://schemas.openxmlformats.org/officeDocument/2006/relationships/hyperlink" Target="https://www.stlouisfed.org/~/media/files/pdfs/hfs/essays/hfs_essay_2_2018.pdf?la=en" TargetMode="External"/><Relationship Id="rId44" Type="http://schemas.openxmlformats.org/officeDocument/2006/relationships/hyperlink" Target="https://www.cbpp.org/research/federal-tax/new-tax-law-is-fundamentally-flawed-and-will-require-basic-restructuring" TargetMode="External"/><Relationship Id="rId52" Type="http://schemas.openxmlformats.org/officeDocument/2006/relationships/hyperlink" Target="https://prosperitynow.org/sites/default/files/resources/ITEP-Prosperity_Now-Race_Wealth_and_Taxes-FULL%20REPORT-FINAL_6.pdf" TargetMode="External"/><Relationship Id="rId4" Type="http://schemas.openxmlformats.org/officeDocument/2006/relationships/hyperlink" Target="https://www.npr.org/books/titles/526656129/the-color-of-law-a-forgotten-history-of-how-our-government-segregated-america" TargetMode="External"/><Relationship Id="rId9" Type="http://schemas.openxmlformats.org/officeDocument/2006/relationships/hyperlink" Target="https://www.washingtonpost.com/news/wonk/wp/2017/09/25/snob-zoning-is-racial-housing-segregation-by-another-name/?utm_term=.6fd380a45e62" TargetMode="External"/><Relationship Id="rId14" Type="http://schemas.openxmlformats.org/officeDocument/2006/relationships/hyperlink" Target="https://www.theatlantic.com/business/archive/2016/03/role-of-highways-in-american-poverty/474282/" TargetMode="External"/><Relationship Id="rId22" Type="http://schemas.openxmlformats.org/officeDocument/2006/relationships/hyperlink" Target="http://link.library.mst.edu/portal/Revisiting-rental-housing--policies-programs/cCQC5nEQLHA/" TargetMode="External"/><Relationship Id="rId27" Type="http://schemas.openxmlformats.org/officeDocument/2006/relationships/hyperlink" Target="http://files.bread.org/institute/simulation/Racial-Wealth-Gap-Policy-Packet.pdf?_ga=2.69274064.1789669477.1529015002-1546765189.1521134376" TargetMode="External"/><Relationship Id="rId30" Type="http://schemas.openxmlformats.org/officeDocument/2006/relationships/hyperlink" Target="https://www.washingtonpost.com/graphics/business/wonk/housing/overview/" TargetMode="External"/><Relationship Id="rId35" Type="http://schemas.openxmlformats.org/officeDocument/2006/relationships/hyperlink" Target="https://www.investopedia.com/terms/home-mortgage-interest.asp" TargetMode="External"/><Relationship Id="rId43" Type="http://schemas.openxmlformats.org/officeDocument/2006/relationships/hyperlink" Target="https://www.taxpolicycenter.org/publications/distributional-analysis-conference-agreement-tax-cuts-and-jobs-act/full" TargetMode="External"/><Relationship Id="rId48" Type="http://schemas.openxmlformats.org/officeDocument/2006/relationships/hyperlink" Target="https://www.washingtonpost.com/news/wonk/wp/2017/12/15/the-final-gop-tax-bill-is-complete-heres-what-is-in-it/?noredirect=on&amp;utm_term=.bf09ac9e9095" TargetMode="External"/><Relationship Id="rId8" Type="http://schemas.openxmlformats.org/officeDocument/2006/relationships/hyperlink" Target="https://supreme.justia.com/cases/federal/us/334/1/case.html" TargetMode="External"/><Relationship Id="rId51" Type="http://schemas.openxmlformats.org/officeDocument/2006/relationships/hyperlink" Target="https://www.washingtonpost.com/news/wonk/wp/2017/12/15/the-final-gop-tax-bill-is-complete-heres-what-is-in-it/?noredirect=on&amp;utm_term=.bf09ac9e9095" TargetMode="External"/><Relationship Id="rId3" Type="http://schemas.openxmlformats.org/officeDocument/2006/relationships/hyperlink" Target="https://dsl.richmond.edu/panorama/renewal/"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F9170C-A913-4156-86F7-3BCFC97C064B}" type="doc">
      <dgm:prSet loTypeId="urn:microsoft.com/office/officeart/2005/8/layout/bProcess3" loCatId="process" qsTypeId="urn:microsoft.com/office/officeart/2005/8/quickstyle/simple1" qsCatId="simple" csTypeId="urn:microsoft.com/office/officeart/2005/8/colors/colorful3" csCatId="colorful" phldr="1"/>
      <dgm:spPr/>
      <dgm:t>
        <a:bodyPr/>
        <a:lstStyle/>
        <a:p>
          <a:endParaRPr lang="en-US"/>
        </a:p>
      </dgm:t>
    </dgm:pt>
    <dgm:pt modelId="{B0779524-ACE3-42DE-B1E8-322503F0BCE3}">
      <dgm:prSet/>
      <dgm:spPr>
        <a:solidFill>
          <a:schemeClr val="accent2">
            <a:lumMod val="75000"/>
          </a:schemeClr>
        </a:solidFill>
      </dgm:spPr>
      <dgm:t>
        <a:bodyPr/>
        <a:lstStyle/>
        <a:p>
          <a:pPr algn="ctr"/>
          <a:r>
            <a:rPr lang="en-US" b="1"/>
            <a:t>1865</a:t>
          </a:r>
        </a:p>
        <a:p>
          <a:pPr algn="ctr"/>
          <a:r>
            <a:rPr lang="en-US"/>
            <a:t>Land Reversals (1865) and Land Seizures (1865-Present Day)</a:t>
          </a:r>
        </a:p>
      </dgm:t>
    </dgm:pt>
    <dgm:pt modelId="{D790025F-A9D0-40EF-9AB2-B7D481FCB4B1}" type="parTrans" cxnId="{31911707-37D5-40B6-A592-C1427152C1AA}">
      <dgm:prSet/>
      <dgm:spPr/>
      <dgm:t>
        <a:bodyPr/>
        <a:lstStyle/>
        <a:p>
          <a:pPr algn="ctr"/>
          <a:endParaRPr lang="en-US"/>
        </a:p>
      </dgm:t>
    </dgm:pt>
    <dgm:pt modelId="{67975414-8352-4408-9C12-676B9E7E8551}" type="sibTrans" cxnId="{31911707-37D5-40B6-A592-C1427152C1AA}">
      <dgm:prSet/>
      <dgm:spPr/>
      <dgm:t>
        <a:bodyPr/>
        <a:lstStyle/>
        <a:p>
          <a:pPr algn="ctr"/>
          <a:endParaRPr lang="en-US"/>
        </a:p>
      </dgm:t>
    </dgm:pt>
    <dgm:pt modelId="{B44FD617-0282-4718-B7F3-E6157A47F46E}">
      <dgm:prSet/>
      <dgm:spPr/>
      <dgm:t>
        <a:bodyPr/>
        <a:lstStyle/>
        <a:p>
          <a:pPr algn="ctr"/>
          <a:r>
            <a:rPr lang="en-US" b="1"/>
            <a:t>1933</a:t>
          </a:r>
        </a:p>
        <a:p>
          <a:pPr algn="ctr"/>
          <a:r>
            <a:rPr lang="en-US"/>
            <a:t>Public Works Administration</a:t>
          </a:r>
        </a:p>
      </dgm:t>
    </dgm:pt>
    <dgm:pt modelId="{CC6605C6-F25C-463F-B843-907B729E0ACC}" type="parTrans" cxnId="{1D3E0453-A9AA-4DAE-A4E9-15D7F5E94063}">
      <dgm:prSet/>
      <dgm:spPr/>
      <dgm:t>
        <a:bodyPr/>
        <a:lstStyle/>
        <a:p>
          <a:pPr algn="ctr"/>
          <a:endParaRPr lang="en-US"/>
        </a:p>
      </dgm:t>
    </dgm:pt>
    <dgm:pt modelId="{C7B3249E-6D8E-4BF8-872B-0E64CAF54651}" type="sibTrans" cxnId="{1D3E0453-A9AA-4DAE-A4E9-15D7F5E94063}">
      <dgm:prSet/>
      <dgm:spPr/>
      <dgm:t>
        <a:bodyPr/>
        <a:lstStyle/>
        <a:p>
          <a:pPr algn="ctr"/>
          <a:endParaRPr lang="en-US"/>
        </a:p>
      </dgm:t>
    </dgm:pt>
    <dgm:pt modelId="{96C0ADCC-1A88-4A18-A5F8-5C5E73B1BB1F}">
      <dgm:prSet/>
      <dgm:spPr/>
      <dgm:t>
        <a:bodyPr/>
        <a:lstStyle/>
        <a:p>
          <a:pPr algn="ctr"/>
          <a:r>
            <a:rPr lang="en-US" b="1"/>
            <a:t>1934</a:t>
          </a:r>
        </a:p>
        <a:p>
          <a:pPr algn="ctr"/>
          <a:r>
            <a:rPr lang="en-US"/>
            <a:t>National Housing Act</a:t>
          </a:r>
        </a:p>
      </dgm:t>
    </dgm:pt>
    <dgm:pt modelId="{51AA7C08-1ADB-49BC-94EB-1F301AB089FC}" type="parTrans" cxnId="{889F0233-FCCC-44D7-BC2B-27BDA53CD42D}">
      <dgm:prSet/>
      <dgm:spPr/>
      <dgm:t>
        <a:bodyPr/>
        <a:lstStyle/>
        <a:p>
          <a:pPr algn="ctr"/>
          <a:endParaRPr lang="en-US"/>
        </a:p>
      </dgm:t>
    </dgm:pt>
    <dgm:pt modelId="{79EFA2AF-B227-4212-893E-B7AABFC589AF}" type="sibTrans" cxnId="{889F0233-FCCC-44D7-BC2B-27BDA53CD42D}">
      <dgm:prSet/>
      <dgm:spPr/>
      <dgm:t>
        <a:bodyPr/>
        <a:lstStyle/>
        <a:p>
          <a:pPr algn="ctr"/>
          <a:endParaRPr lang="en-US"/>
        </a:p>
      </dgm:t>
    </dgm:pt>
    <dgm:pt modelId="{8419C4D7-370E-450E-B179-C171AAE14A52}">
      <dgm:prSet/>
      <dgm:spPr/>
      <dgm:t>
        <a:bodyPr/>
        <a:lstStyle/>
        <a:p>
          <a:pPr algn="ctr"/>
          <a:r>
            <a:rPr lang="en-US" b="1"/>
            <a:t>1934</a:t>
          </a:r>
        </a:p>
        <a:p>
          <a:pPr algn="ctr"/>
          <a:r>
            <a:rPr lang="en-US"/>
            <a:t>Federal Housing Administration</a:t>
          </a:r>
        </a:p>
      </dgm:t>
    </dgm:pt>
    <dgm:pt modelId="{470EE508-EE71-4043-91CE-A0FDE6E9894A}" type="parTrans" cxnId="{0CCEE494-882B-4CDD-8830-7AB66A36A430}">
      <dgm:prSet/>
      <dgm:spPr/>
      <dgm:t>
        <a:bodyPr/>
        <a:lstStyle/>
        <a:p>
          <a:pPr algn="ctr"/>
          <a:endParaRPr lang="en-US"/>
        </a:p>
      </dgm:t>
    </dgm:pt>
    <dgm:pt modelId="{66CE95D9-C892-412F-8B82-2791B83E9BE2}" type="sibTrans" cxnId="{0CCEE494-882B-4CDD-8830-7AB66A36A430}">
      <dgm:prSet/>
      <dgm:spPr/>
      <dgm:t>
        <a:bodyPr/>
        <a:lstStyle/>
        <a:p>
          <a:pPr algn="ctr"/>
          <a:endParaRPr lang="en-US"/>
        </a:p>
      </dgm:t>
    </dgm:pt>
    <dgm:pt modelId="{4FDD9052-4CA8-4AFF-AE0A-916F4C9104A9}">
      <dgm:prSet/>
      <dgm:spPr/>
      <dgm:t>
        <a:bodyPr/>
        <a:lstStyle/>
        <a:p>
          <a:pPr algn="ctr"/>
          <a:r>
            <a:rPr lang="en-US" b="1"/>
            <a:t>1935</a:t>
          </a:r>
        </a:p>
        <a:p>
          <a:pPr algn="ctr"/>
          <a:r>
            <a:rPr lang="en-US"/>
            <a:t>Social Security Act</a:t>
          </a:r>
        </a:p>
      </dgm:t>
    </dgm:pt>
    <dgm:pt modelId="{C4B529AA-6431-4A27-B29B-60810623E96F}" type="parTrans" cxnId="{D85322D5-7BBE-45C4-9FAC-4E25C4A87A39}">
      <dgm:prSet/>
      <dgm:spPr/>
      <dgm:t>
        <a:bodyPr/>
        <a:lstStyle/>
        <a:p>
          <a:pPr algn="ctr"/>
          <a:endParaRPr lang="en-US"/>
        </a:p>
      </dgm:t>
    </dgm:pt>
    <dgm:pt modelId="{4EA3AA78-E411-457F-BEBE-C5B7AA97BD09}" type="sibTrans" cxnId="{D85322D5-7BBE-45C4-9FAC-4E25C4A87A39}">
      <dgm:prSet/>
      <dgm:spPr/>
      <dgm:t>
        <a:bodyPr/>
        <a:lstStyle/>
        <a:p>
          <a:pPr algn="ctr"/>
          <a:endParaRPr lang="en-US"/>
        </a:p>
      </dgm:t>
    </dgm:pt>
    <dgm:pt modelId="{E6D69EFD-2B74-4935-B7F0-BC5E5D0CC9CD}">
      <dgm:prSet/>
      <dgm:spPr/>
      <dgm:t>
        <a:bodyPr/>
        <a:lstStyle/>
        <a:p>
          <a:pPr algn="ctr"/>
          <a:r>
            <a:rPr lang="en-US" b="1"/>
            <a:t>1938</a:t>
          </a:r>
        </a:p>
        <a:p>
          <a:pPr algn="ctr"/>
          <a:r>
            <a:rPr lang="en-US"/>
            <a:t>Fair Labor Standards Act</a:t>
          </a:r>
        </a:p>
      </dgm:t>
    </dgm:pt>
    <dgm:pt modelId="{59CE0FA6-FFAB-4AEC-AFA0-7DDE044D0DEF}" type="parTrans" cxnId="{B45E143E-20FF-4968-B9C2-ED734AD879AF}">
      <dgm:prSet/>
      <dgm:spPr/>
      <dgm:t>
        <a:bodyPr/>
        <a:lstStyle/>
        <a:p>
          <a:pPr algn="ctr"/>
          <a:endParaRPr lang="en-US"/>
        </a:p>
      </dgm:t>
    </dgm:pt>
    <dgm:pt modelId="{6D781C85-BA25-4E69-8CE2-9236D7B4D509}" type="sibTrans" cxnId="{B45E143E-20FF-4968-B9C2-ED734AD879AF}">
      <dgm:prSet/>
      <dgm:spPr/>
      <dgm:t>
        <a:bodyPr/>
        <a:lstStyle/>
        <a:p>
          <a:pPr algn="ctr"/>
          <a:endParaRPr lang="en-US"/>
        </a:p>
      </dgm:t>
    </dgm:pt>
    <dgm:pt modelId="{28A9FD45-A678-42AB-841C-7429D2B7C551}">
      <dgm:prSet/>
      <dgm:spPr/>
      <dgm:t>
        <a:bodyPr/>
        <a:lstStyle/>
        <a:p>
          <a:pPr algn="ctr"/>
          <a:r>
            <a:rPr lang="en-US" b="1"/>
            <a:t>1944</a:t>
          </a:r>
        </a:p>
        <a:p>
          <a:pPr algn="ctr"/>
          <a:r>
            <a:rPr lang="en-US"/>
            <a:t>G.I. Bill</a:t>
          </a:r>
        </a:p>
      </dgm:t>
    </dgm:pt>
    <dgm:pt modelId="{B69E7DD1-209E-4DDE-9C09-ED92822250F8}" type="parTrans" cxnId="{2FED0C56-0098-4FDE-9907-B5F038E0232A}">
      <dgm:prSet/>
      <dgm:spPr/>
      <dgm:t>
        <a:bodyPr/>
        <a:lstStyle/>
        <a:p>
          <a:pPr algn="ctr"/>
          <a:endParaRPr lang="en-US"/>
        </a:p>
      </dgm:t>
    </dgm:pt>
    <dgm:pt modelId="{6EB6A129-2685-41FD-AC65-3FA7244656AC}" type="sibTrans" cxnId="{2FED0C56-0098-4FDE-9907-B5F038E0232A}">
      <dgm:prSet/>
      <dgm:spPr/>
      <dgm:t>
        <a:bodyPr/>
        <a:lstStyle/>
        <a:p>
          <a:pPr algn="ctr"/>
          <a:endParaRPr lang="en-US"/>
        </a:p>
      </dgm:t>
    </dgm:pt>
    <dgm:pt modelId="{9EB883C1-A31A-4FE2-B569-60DDF4710D9C}">
      <dgm:prSet/>
      <dgm:spPr/>
      <dgm:t>
        <a:bodyPr/>
        <a:lstStyle/>
        <a:p>
          <a:pPr algn="ctr"/>
          <a:r>
            <a:rPr lang="en-US" b="1"/>
            <a:t>1955</a:t>
          </a:r>
        </a:p>
        <a:p>
          <a:pPr algn="ctr"/>
          <a:r>
            <a:rPr lang="en-US"/>
            <a:t>Urban Renewal Projects</a:t>
          </a:r>
        </a:p>
      </dgm:t>
    </dgm:pt>
    <dgm:pt modelId="{9BAD493B-985D-4E4C-8B61-A362A794A4BB}" type="parTrans" cxnId="{70172BA6-D7B8-43E4-89F8-4146DCFC20C6}">
      <dgm:prSet/>
      <dgm:spPr/>
      <dgm:t>
        <a:bodyPr/>
        <a:lstStyle/>
        <a:p>
          <a:pPr algn="ctr"/>
          <a:endParaRPr lang="en-US"/>
        </a:p>
      </dgm:t>
    </dgm:pt>
    <dgm:pt modelId="{3EC5B327-2F7B-42DB-B65A-E5EFD53753C9}" type="sibTrans" cxnId="{70172BA6-D7B8-43E4-89F8-4146DCFC20C6}">
      <dgm:prSet/>
      <dgm:spPr/>
      <dgm:t>
        <a:bodyPr/>
        <a:lstStyle/>
        <a:p>
          <a:pPr algn="ctr"/>
          <a:endParaRPr lang="en-US"/>
        </a:p>
      </dgm:t>
    </dgm:pt>
    <dgm:pt modelId="{A420E91E-4769-4F77-9B71-CA5CA8650067}">
      <dgm:prSet/>
      <dgm:spPr/>
      <dgm:t>
        <a:bodyPr/>
        <a:lstStyle/>
        <a:p>
          <a:pPr algn="ctr"/>
          <a:r>
            <a:rPr lang="en-US" b="1"/>
            <a:t>1970s-Present</a:t>
          </a:r>
        </a:p>
        <a:p>
          <a:pPr algn="ctr"/>
          <a:r>
            <a:rPr lang="en-US"/>
            <a:t>Subprime Loans (1970s-Present Day)</a:t>
          </a:r>
        </a:p>
      </dgm:t>
    </dgm:pt>
    <dgm:pt modelId="{2499B798-D20A-4E9E-B794-DA82FE2983E7}" type="parTrans" cxnId="{5DE62A6B-A1EE-4725-901D-1566203BF3D0}">
      <dgm:prSet/>
      <dgm:spPr/>
      <dgm:t>
        <a:bodyPr/>
        <a:lstStyle/>
        <a:p>
          <a:pPr algn="ctr"/>
          <a:endParaRPr lang="en-US"/>
        </a:p>
      </dgm:t>
    </dgm:pt>
    <dgm:pt modelId="{A9CD2BD0-E217-4BF2-8699-81A6A42F51C8}" type="sibTrans" cxnId="{5DE62A6B-A1EE-4725-901D-1566203BF3D0}">
      <dgm:prSet/>
      <dgm:spPr/>
      <dgm:t>
        <a:bodyPr/>
        <a:lstStyle/>
        <a:p>
          <a:pPr algn="ctr"/>
          <a:endParaRPr lang="en-US"/>
        </a:p>
      </dgm:t>
    </dgm:pt>
    <dgm:pt modelId="{C2889B9C-3AB3-4227-9343-2E7146C4A7A3}">
      <dgm:prSet/>
      <dgm:spPr/>
      <dgm:t>
        <a:bodyPr/>
        <a:lstStyle/>
        <a:p>
          <a:pPr algn="ctr"/>
          <a:r>
            <a:rPr lang="en-US" b="1"/>
            <a:t>1971-Present</a:t>
          </a:r>
        </a:p>
        <a:p>
          <a:pPr algn="ctr"/>
          <a:r>
            <a:rPr lang="en-US"/>
            <a:t>"War on Drugs" (1971-Present Day)</a:t>
          </a:r>
        </a:p>
      </dgm:t>
    </dgm:pt>
    <dgm:pt modelId="{6563496E-AA28-4D25-8388-2D0A499469A6}" type="parTrans" cxnId="{D578AD4A-0D71-46A9-B719-3B8D9DD0CD4C}">
      <dgm:prSet/>
      <dgm:spPr/>
      <dgm:t>
        <a:bodyPr/>
        <a:lstStyle/>
        <a:p>
          <a:pPr algn="ctr"/>
          <a:endParaRPr lang="en-US"/>
        </a:p>
      </dgm:t>
    </dgm:pt>
    <dgm:pt modelId="{AA15AF83-582A-446E-9505-B4036B9E8643}" type="sibTrans" cxnId="{D578AD4A-0D71-46A9-B719-3B8D9DD0CD4C}">
      <dgm:prSet/>
      <dgm:spPr/>
      <dgm:t>
        <a:bodyPr/>
        <a:lstStyle/>
        <a:p>
          <a:pPr algn="ctr"/>
          <a:endParaRPr lang="en-US"/>
        </a:p>
      </dgm:t>
    </dgm:pt>
    <dgm:pt modelId="{CFEDF260-5FB8-4640-9CC4-B44759D6AF24}" type="pres">
      <dgm:prSet presAssocID="{91F9170C-A913-4156-86F7-3BCFC97C064B}" presName="Name0" presStyleCnt="0">
        <dgm:presLayoutVars>
          <dgm:dir/>
          <dgm:resizeHandles val="exact"/>
        </dgm:presLayoutVars>
      </dgm:prSet>
      <dgm:spPr/>
    </dgm:pt>
    <dgm:pt modelId="{FF0365C9-FA51-446F-BEEE-1791BCBF822D}" type="pres">
      <dgm:prSet presAssocID="{B0779524-ACE3-42DE-B1E8-322503F0BCE3}" presName="node" presStyleLbl="node1" presStyleIdx="0" presStyleCnt="10">
        <dgm:presLayoutVars>
          <dgm:bulletEnabled val="1"/>
        </dgm:presLayoutVars>
      </dgm:prSet>
      <dgm:spPr/>
    </dgm:pt>
    <dgm:pt modelId="{99FA9021-1AAD-4C8D-9DEE-0F1CB95C09C9}" type="pres">
      <dgm:prSet presAssocID="{67975414-8352-4408-9C12-676B9E7E8551}" presName="sibTrans" presStyleLbl="sibTrans1D1" presStyleIdx="0" presStyleCnt="9"/>
      <dgm:spPr/>
    </dgm:pt>
    <dgm:pt modelId="{CE8E7E60-9078-4743-AA41-E0689F842F96}" type="pres">
      <dgm:prSet presAssocID="{67975414-8352-4408-9C12-676B9E7E8551}" presName="connectorText" presStyleLbl="sibTrans1D1" presStyleIdx="0" presStyleCnt="9"/>
      <dgm:spPr/>
    </dgm:pt>
    <dgm:pt modelId="{D553399A-0286-4D56-A5AE-2ADEE3C33EBD}" type="pres">
      <dgm:prSet presAssocID="{B44FD617-0282-4718-B7F3-E6157A47F46E}" presName="node" presStyleLbl="node1" presStyleIdx="1" presStyleCnt="10">
        <dgm:presLayoutVars>
          <dgm:bulletEnabled val="1"/>
        </dgm:presLayoutVars>
      </dgm:prSet>
      <dgm:spPr/>
    </dgm:pt>
    <dgm:pt modelId="{74B68C91-D67A-4295-B822-E1C5324D48A3}" type="pres">
      <dgm:prSet presAssocID="{C7B3249E-6D8E-4BF8-872B-0E64CAF54651}" presName="sibTrans" presStyleLbl="sibTrans1D1" presStyleIdx="1" presStyleCnt="9"/>
      <dgm:spPr/>
    </dgm:pt>
    <dgm:pt modelId="{88992228-4493-441C-A8F9-D43FD63966C9}" type="pres">
      <dgm:prSet presAssocID="{C7B3249E-6D8E-4BF8-872B-0E64CAF54651}" presName="connectorText" presStyleLbl="sibTrans1D1" presStyleIdx="1" presStyleCnt="9"/>
      <dgm:spPr/>
    </dgm:pt>
    <dgm:pt modelId="{9B0C8580-099D-4B98-970E-EF6548B18541}" type="pres">
      <dgm:prSet presAssocID="{96C0ADCC-1A88-4A18-A5F8-5C5E73B1BB1F}" presName="node" presStyleLbl="node1" presStyleIdx="2" presStyleCnt="10">
        <dgm:presLayoutVars>
          <dgm:bulletEnabled val="1"/>
        </dgm:presLayoutVars>
      </dgm:prSet>
      <dgm:spPr/>
    </dgm:pt>
    <dgm:pt modelId="{464F768E-076C-49E7-88B0-D8254008C930}" type="pres">
      <dgm:prSet presAssocID="{79EFA2AF-B227-4212-893E-B7AABFC589AF}" presName="sibTrans" presStyleLbl="sibTrans1D1" presStyleIdx="2" presStyleCnt="9"/>
      <dgm:spPr/>
    </dgm:pt>
    <dgm:pt modelId="{74BE20CD-971A-487C-A0D2-4B10CFB4EE29}" type="pres">
      <dgm:prSet presAssocID="{79EFA2AF-B227-4212-893E-B7AABFC589AF}" presName="connectorText" presStyleLbl="sibTrans1D1" presStyleIdx="2" presStyleCnt="9"/>
      <dgm:spPr/>
    </dgm:pt>
    <dgm:pt modelId="{9876749D-2E7F-47AD-A2FA-D6D952B7FE1A}" type="pres">
      <dgm:prSet presAssocID="{8419C4D7-370E-450E-B179-C171AAE14A52}" presName="node" presStyleLbl="node1" presStyleIdx="3" presStyleCnt="10">
        <dgm:presLayoutVars>
          <dgm:bulletEnabled val="1"/>
        </dgm:presLayoutVars>
      </dgm:prSet>
      <dgm:spPr/>
    </dgm:pt>
    <dgm:pt modelId="{28BDB204-6F7C-4A85-94CD-C67DBCAB5D2F}" type="pres">
      <dgm:prSet presAssocID="{66CE95D9-C892-412F-8B82-2791B83E9BE2}" presName="sibTrans" presStyleLbl="sibTrans1D1" presStyleIdx="3" presStyleCnt="9"/>
      <dgm:spPr/>
    </dgm:pt>
    <dgm:pt modelId="{63B3B670-BBF4-489C-BD20-B6E9FC760BDF}" type="pres">
      <dgm:prSet presAssocID="{66CE95D9-C892-412F-8B82-2791B83E9BE2}" presName="connectorText" presStyleLbl="sibTrans1D1" presStyleIdx="3" presStyleCnt="9"/>
      <dgm:spPr/>
    </dgm:pt>
    <dgm:pt modelId="{79A6099A-41E0-457B-91B2-11A5A6CC1B3C}" type="pres">
      <dgm:prSet presAssocID="{4FDD9052-4CA8-4AFF-AE0A-916F4C9104A9}" presName="node" presStyleLbl="node1" presStyleIdx="4" presStyleCnt="10">
        <dgm:presLayoutVars>
          <dgm:bulletEnabled val="1"/>
        </dgm:presLayoutVars>
      </dgm:prSet>
      <dgm:spPr/>
    </dgm:pt>
    <dgm:pt modelId="{AB7D42CA-8485-441F-B68E-CFD05237E9AF}" type="pres">
      <dgm:prSet presAssocID="{4EA3AA78-E411-457F-BEBE-C5B7AA97BD09}" presName="sibTrans" presStyleLbl="sibTrans1D1" presStyleIdx="4" presStyleCnt="9"/>
      <dgm:spPr/>
    </dgm:pt>
    <dgm:pt modelId="{E7DE93A0-ED27-4617-9DB0-75675A0C44F2}" type="pres">
      <dgm:prSet presAssocID="{4EA3AA78-E411-457F-BEBE-C5B7AA97BD09}" presName="connectorText" presStyleLbl="sibTrans1D1" presStyleIdx="4" presStyleCnt="9"/>
      <dgm:spPr/>
    </dgm:pt>
    <dgm:pt modelId="{2FB92436-A73B-45F8-B00E-CCC59AE8B21A}" type="pres">
      <dgm:prSet presAssocID="{E6D69EFD-2B74-4935-B7F0-BC5E5D0CC9CD}" presName="node" presStyleLbl="node1" presStyleIdx="5" presStyleCnt="10">
        <dgm:presLayoutVars>
          <dgm:bulletEnabled val="1"/>
        </dgm:presLayoutVars>
      </dgm:prSet>
      <dgm:spPr/>
    </dgm:pt>
    <dgm:pt modelId="{56D71156-27D2-46DA-8264-113C54A57336}" type="pres">
      <dgm:prSet presAssocID="{6D781C85-BA25-4E69-8CE2-9236D7B4D509}" presName="sibTrans" presStyleLbl="sibTrans1D1" presStyleIdx="5" presStyleCnt="9"/>
      <dgm:spPr/>
    </dgm:pt>
    <dgm:pt modelId="{5BB6253E-E1FD-4F01-9038-306626C58099}" type="pres">
      <dgm:prSet presAssocID="{6D781C85-BA25-4E69-8CE2-9236D7B4D509}" presName="connectorText" presStyleLbl="sibTrans1D1" presStyleIdx="5" presStyleCnt="9"/>
      <dgm:spPr/>
    </dgm:pt>
    <dgm:pt modelId="{064040A3-F676-49ED-B369-3ABC80C4DCFD}" type="pres">
      <dgm:prSet presAssocID="{28A9FD45-A678-42AB-841C-7429D2B7C551}" presName="node" presStyleLbl="node1" presStyleIdx="6" presStyleCnt="10">
        <dgm:presLayoutVars>
          <dgm:bulletEnabled val="1"/>
        </dgm:presLayoutVars>
      </dgm:prSet>
      <dgm:spPr/>
    </dgm:pt>
    <dgm:pt modelId="{B14B31D7-C06F-4993-9733-4FF0F60ACABF}" type="pres">
      <dgm:prSet presAssocID="{6EB6A129-2685-41FD-AC65-3FA7244656AC}" presName="sibTrans" presStyleLbl="sibTrans1D1" presStyleIdx="6" presStyleCnt="9"/>
      <dgm:spPr/>
    </dgm:pt>
    <dgm:pt modelId="{8857B6B9-0D1F-42F6-AA40-82AFF1FF3639}" type="pres">
      <dgm:prSet presAssocID="{6EB6A129-2685-41FD-AC65-3FA7244656AC}" presName="connectorText" presStyleLbl="sibTrans1D1" presStyleIdx="6" presStyleCnt="9"/>
      <dgm:spPr/>
    </dgm:pt>
    <dgm:pt modelId="{1AA4714B-B82D-4EC9-9BE7-F1A57D28A6F1}" type="pres">
      <dgm:prSet presAssocID="{9EB883C1-A31A-4FE2-B569-60DDF4710D9C}" presName="node" presStyleLbl="node1" presStyleIdx="7" presStyleCnt="10">
        <dgm:presLayoutVars>
          <dgm:bulletEnabled val="1"/>
        </dgm:presLayoutVars>
      </dgm:prSet>
      <dgm:spPr/>
    </dgm:pt>
    <dgm:pt modelId="{DFC10AEB-759B-4B9D-B4F0-7DFB62DF9FE8}" type="pres">
      <dgm:prSet presAssocID="{3EC5B327-2F7B-42DB-B65A-E5EFD53753C9}" presName="sibTrans" presStyleLbl="sibTrans1D1" presStyleIdx="7" presStyleCnt="9"/>
      <dgm:spPr/>
    </dgm:pt>
    <dgm:pt modelId="{1A352A84-E62E-4420-9024-3F1A1BB748CB}" type="pres">
      <dgm:prSet presAssocID="{3EC5B327-2F7B-42DB-B65A-E5EFD53753C9}" presName="connectorText" presStyleLbl="sibTrans1D1" presStyleIdx="7" presStyleCnt="9"/>
      <dgm:spPr/>
    </dgm:pt>
    <dgm:pt modelId="{70025476-83FC-47C9-B9F2-AD2E6934E8C7}" type="pres">
      <dgm:prSet presAssocID="{A420E91E-4769-4F77-9B71-CA5CA8650067}" presName="node" presStyleLbl="node1" presStyleIdx="8" presStyleCnt="10">
        <dgm:presLayoutVars>
          <dgm:bulletEnabled val="1"/>
        </dgm:presLayoutVars>
      </dgm:prSet>
      <dgm:spPr/>
    </dgm:pt>
    <dgm:pt modelId="{6BE6510C-8D16-4042-9D7A-F6743821B574}" type="pres">
      <dgm:prSet presAssocID="{A9CD2BD0-E217-4BF2-8699-81A6A42F51C8}" presName="sibTrans" presStyleLbl="sibTrans1D1" presStyleIdx="8" presStyleCnt="9"/>
      <dgm:spPr/>
    </dgm:pt>
    <dgm:pt modelId="{5645C927-5A7D-4753-A169-F0102655658F}" type="pres">
      <dgm:prSet presAssocID="{A9CD2BD0-E217-4BF2-8699-81A6A42F51C8}" presName="connectorText" presStyleLbl="sibTrans1D1" presStyleIdx="8" presStyleCnt="9"/>
      <dgm:spPr/>
    </dgm:pt>
    <dgm:pt modelId="{4757CFFD-4C1F-4398-A3EA-A9C1A2AFB8A5}" type="pres">
      <dgm:prSet presAssocID="{C2889B9C-3AB3-4227-9343-2E7146C4A7A3}" presName="node" presStyleLbl="node1" presStyleIdx="9" presStyleCnt="10">
        <dgm:presLayoutVars>
          <dgm:bulletEnabled val="1"/>
        </dgm:presLayoutVars>
      </dgm:prSet>
      <dgm:spPr/>
    </dgm:pt>
  </dgm:ptLst>
  <dgm:cxnLst>
    <dgm:cxn modelId="{31911707-37D5-40B6-A592-C1427152C1AA}" srcId="{91F9170C-A913-4156-86F7-3BCFC97C064B}" destId="{B0779524-ACE3-42DE-B1E8-322503F0BCE3}" srcOrd="0" destOrd="0" parTransId="{D790025F-A9D0-40EF-9AB2-B7D481FCB4B1}" sibTransId="{67975414-8352-4408-9C12-676B9E7E8551}"/>
    <dgm:cxn modelId="{2027100A-5F46-41D3-AF33-1C1F3D883240}" type="presOf" srcId="{C2889B9C-3AB3-4227-9343-2E7146C4A7A3}" destId="{4757CFFD-4C1F-4398-A3EA-A9C1A2AFB8A5}" srcOrd="0" destOrd="0" presId="urn:microsoft.com/office/officeart/2005/8/layout/bProcess3"/>
    <dgm:cxn modelId="{42F57918-282A-4749-8D17-506E6F7C84EE}" type="presOf" srcId="{3EC5B327-2F7B-42DB-B65A-E5EFD53753C9}" destId="{1A352A84-E62E-4420-9024-3F1A1BB748CB}" srcOrd="1" destOrd="0" presId="urn:microsoft.com/office/officeart/2005/8/layout/bProcess3"/>
    <dgm:cxn modelId="{E9F35C1B-6139-4EBD-B179-D8C749901523}" type="presOf" srcId="{4EA3AA78-E411-457F-BEBE-C5B7AA97BD09}" destId="{E7DE93A0-ED27-4617-9DB0-75675A0C44F2}" srcOrd="1" destOrd="0" presId="urn:microsoft.com/office/officeart/2005/8/layout/bProcess3"/>
    <dgm:cxn modelId="{BA4FA224-2A1E-48F7-A0D0-4FC223C9BCC5}" type="presOf" srcId="{4EA3AA78-E411-457F-BEBE-C5B7AA97BD09}" destId="{AB7D42CA-8485-441F-B68E-CFD05237E9AF}" srcOrd="0" destOrd="0" presId="urn:microsoft.com/office/officeart/2005/8/layout/bProcess3"/>
    <dgm:cxn modelId="{56DC0A27-76B2-493C-82BD-54878A661FAD}" type="presOf" srcId="{C7B3249E-6D8E-4BF8-872B-0E64CAF54651}" destId="{88992228-4493-441C-A8F9-D43FD63966C9}" srcOrd="1" destOrd="0" presId="urn:microsoft.com/office/officeart/2005/8/layout/bProcess3"/>
    <dgm:cxn modelId="{FB8DF527-768A-40C3-8339-AF9440151CAF}" type="presOf" srcId="{E6D69EFD-2B74-4935-B7F0-BC5E5D0CC9CD}" destId="{2FB92436-A73B-45F8-B00E-CCC59AE8B21A}" srcOrd="0" destOrd="0" presId="urn:microsoft.com/office/officeart/2005/8/layout/bProcess3"/>
    <dgm:cxn modelId="{3035AB28-4E85-46D4-9D2A-3F36AD4143D2}" type="presOf" srcId="{B0779524-ACE3-42DE-B1E8-322503F0BCE3}" destId="{FF0365C9-FA51-446F-BEEE-1791BCBF822D}" srcOrd="0" destOrd="0" presId="urn:microsoft.com/office/officeart/2005/8/layout/bProcess3"/>
    <dgm:cxn modelId="{DCAE8831-67DE-479F-A888-B9406846E899}" type="presOf" srcId="{A420E91E-4769-4F77-9B71-CA5CA8650067}" destId="{70025476-83FC-47C9-B9F2-AD2E6934E8C7}" srcOrd="0" destOrd="0" presId="urn:microsoft.com/office/officeart/2005/8/layout/bProcess3"/>
    <dgm:cxn modelId="{889F0233-FCCC-44D7-BC2B-27BDA53CD42D}" srcId="{91F9170C-A913-4156-86F7-3BCFC97C064B}" destId="{96C0ADCC-1A88-4A18-A5F8-5C5E73B1BB1F}" srcOrd="2" destOrd="0" parTransId="{51AA7C08-1ADB-49BC-94EB-1F301AB089FC}" sibTransId="{79EFA2AF-B227-4212-893E-B7AABFC589AF}"/>
    <dgm:cxn modelId="{B45E143E-20FF-4968-B9C2-ED734AD879AF}" srcId="{91F9170C-A913-4156-86F7-3BCFC97C064B}" destId="{E6D69EFD-2B74-4935-B7F0-BC5E5D0CC9CD}" srcOrd="5" destOrd="0" parTransId="{59CE0FA6-FFAB-4AEC-AFA0-7DDE044D0DEF}" sibTransId="{6D781C85-BA25-4E69-8CE2-9236D7B4D509}"/>
    <dgm:cxn modelId="{C719C85B-A832-44CC-8FB9-9095A9D8AF3D}" type="presOf" srcId="{6D781C85-BA25-4E69-8CE2-9236D7B4D509}" destId="{5BB6253E-E1FD-4F01-9038-306626C58099}" srcOrd="1" destOrd="0" presId="urn:microsoft.com/office/officeart/2005/8/layout/bProcess3"/>
    <dgm:cxn modelId="{75A61C62-B18F-4B36-86A4-B44C3B413FCD}" type="presOf" srcId="{C7B3249E-6D8E-4BF8-872B-0E64CAF54651}" destId="{74B68C91-D67A-4295-B822-E1C5324D48A3}" srcOrd="0" destOrd="0" presId="urn:microsoft.com/office/officeart/2005/8/layout/bProcess3"/>
    <dgm:cxn modelId="{E0B07762-DF65-44AE-A2D8-A898798F0B68}" type="presOf" srcId="{66CE95D9-C892-412F-8B82-2791B83E9BE2}" destId="{28BDB204-6F7C-4A85-94CD-C67DBCAB5D2F}" srcOrd="0" destOrd="0" presId="urn:microsoft.com/office/officeart/2005/8/layout/bProcess3"/>
    <dgm:cxn modelId="{040F6445-DB1F-4D79-8202-4AA24B30B1BA}" type="presOf" srcId="{67975414-8352-4408-9C12-676B9E7E8551}" destId="{99FA9021-1AAD-4C8D-9DEE-0F1CB95C09C9}" srcOrd="0" destOrd="0" presId="urn:microsoft.com/office/officeart/2005/8/layout/bProcess3"/>
    <dgm:cxn modelId="{D578AD4A-0D71-46A9-B719-3B8D9DD0CD4C}" srcId="{91F9170C-A913-4156-86F7-3BCFC97C064B}" destId="{C2889B9C-3AB3-4227-9343-2E7146C4A7A3}" srcOrd="9" destOrd="0" parTransId="{6563496E-AA28-4D25-8388-2D0A499469A6}" sibTransId="{AA15AF83-582A-446E-9505-B4036B9E8643}"/>
    <dgm:cxn modelId="{6077FB4A-94C1-473F-975D-45C2F964C913}" type="presOf" srcId="{4FDD9052-4CA8-4AFF-AE0A-916F4C9104A9}" destId="{79A6099A-41E0-457B-91B2-11A5A6CC1B3C}" srcOrd="0" destOrd="0" presId="urn:microsoft.com/office/officeart/2005/8/layout/bProcess3"/>
    <dgm:cxn modelId="{5DE62A6B-A1EE-4725-901D-1566203BF3D0}" srcId="{91F9170C-A913-4156-86F7-3BCFC97C064B}" destId="{A420E91E-4769-4F77-9B71-CA5CA8650067}" srcOrd="8" destOrd="0" parTransId="{2499B798-D20A-4E9E-B794-DA82FE2983E7}" sibTransId="{A9CD2BD0-E217-4BF2-8699-81A6A42F51C8}"/>
    <dgm:cxn modelId="{1D3E0453-A9AA-4DAE-A4E9-15D7F5E94063}" srcId="{91F9170C-A913-4156-86F7-3BCFC97C064B}" destId="{B44FD617-0282-4718-B7F3-E6157A47F46E}" srcOrd="1" destOrd="0" parTransId="{CC6605C6-F25C-463F-B843-907B729E0ACC}" sibTransId="{C7B3249E-6D8E-4BF8-872B-0E64CAF54651}"/>
    <dgm:cxn modelId="{2FED0C56-0098-4FDE-9907-B5F038E0232A}" srcId="{91F9170C-A913-4156-86F7-3BCFC97C064B}" destId="{28A9FD45-A678-42AB-841C-7429D2B7C551}" srcOrd="6" destOrd="0" parTransId="{B69E7DD1-209E-4DDE-9C09-ED92822250F8}" sibTransId="{6EB6A129-2685-41FD-AC65-3FA7244656AC}"/>
    <dgm:cxn modelId="{EBA6E476-5564-441C-9803-4985E6B8428C}" type="presOf" srcId="{66CE95D9-C892-412F-8B82-2791B83E9BE2}" destId="{63B3B670-BBF4-489C-BD20-B6E9FC760BDF}" srcOrd="1" destOrd="0" presId="urn:microsoft.com/office/officeart/2005/8/layout/bProcess3"/>
    <dgm:cxn modelId="{EC5FC479-6DB1-49F5-B93C-26B359D8F4DB}" type="presOf" srcId="{79EFA2AF-B227-4212-893E-B7AABFC589AF}" destId="{464F768E-076C-49E7-88B0-D8254008C930}" srcOrd="0" destOrd="0" presId="urn:microsoft.com/office/officeart/2005/8/layout/bProcess3"/>
    <dgm:cxn modelId="{2A81C67B-780E-47B9-91C4-D51E749CEB1F}" type="presOf" srcId="{28A9FD45-A678-42AB-841C-7429D2B7C551}" destId="{064040A3-F676-49ED-B369-3ABC80C4DCFD}" srcOrd="0" destOrd="0" presId="urn:microsoft.com/office/officeart/2005/8/layout/bProcess3"/>
    <dgm:cxn modelId="{FB58407E-A82B-44FE-8710-ED690897034C}" type="presOf" srcId="{3EC5B327-2F7B-42DB-B65A-E5EFD53753C9}" destId="{DFC10AEB-759B-4B9D-B4F0-7DFB62DF9FE8}" srcOrd="0" destOrd="0" presId="urn:microsoft.com/office/officeart/2005/8/layout/bProcess3"/>
    <dgm:cxn modelId="{F459CF81-7C6C-4BA4-9573-ED61D4D8CDD3}" type="presOf" srcId="{96C0ADCC-1A88-4A18-A5F8-5C5E73B1BB1F}" destId="{9B0C8580-099D-4B98-970E-EF6548B18541}" srcOrd="0" destOrd="0" presId="urn:microsoft.com/office/officeart/2005/8/layout/bProcess3"/>
    <dgm:cxn modelId="{3BCBDA85-50D2-4DF9-805C-3C33850F449D}" type="presOf" srcId="{6EB6A129-2685-41FD-AC65-3FA7244656AC}" destId="{B14B31D7-C06F-4993-9733-4FF0F60ACABF}" srcOrd="0" destOrd="0" presId="urn:microsoft.com/office/officeart/2005/8/layout/bProcess3"/>
    <dgm:cxn modelId="{E1BB2893-8369-45C0-8E3E-885E0E1EFDF9}" type="presOf" srcId="{A9CD2BD0-E217-4BF2-8699-81A6A42F51C8}" destId="{5645C927-5A7D-4753-A169-F0102655658F}" srcOrd="1" destOrd="0" presId="urn:microsoft.com/office/officeart/2005/8/layout/bProcess3"/>
    <dgm:cxn modelId="{0CCEE494-882B-4CDD-8830-7AB66A36A430}" srcId="{91F9170C-A913-4156-86F7-3BCFC97C064B}" destId="{8419C4D7-370E-450E-B179-C171AAE14A52}" srcOrd="3" destOrd="0" parTransId="{470EE508-EE71-4043-91CE-A0FDE6E9894A}" sibTransId="{66CE95D9-C892-412F-8B82-2791B83E9BE2}"/>
    <dgm:cxn modelId="{C9FF33A1-B12C-41B1-B8C9-F9258FB74FF1}" type="presOf" srcId="{8419C4D7-370E-450E-B179-C171AAE14A52}" destId="{9876749D-2E7F-47AD-A2FA-D6D952B7FE1A}" srcOrd="0" destOrd="0" presId="urn:microsoft.com/office/officeart/2005/8/layout/bProcess3"/>
    <dgm:cxn modelId="{70172BA6-D7B8-43E4-89F8-4146DCFC20C6}" srcId="{91F9170C-A913-4156-86F7-3BCFC97C064B}" destId="{9EB883C1-A31A-4FE2-B569-60DDF4710D9C}" srcOrd="7" destOrd="0" parTransId="{9BAD493B-985D-4E4C-8B61-A362A794A4BB}" sibTransId="{3EC5B327-2F7B-42DB-B65A-E5EFD53753C9}"/>
    <dgm:cxn modelId="{DBF24DA8-86AB-47F7-AF44-E919D28D98B1}" type="presOf" srcId="{A9CD2BD0-E217-4BF2-8699-81A6A42F51C8}" destId="{6BE6510C-8D16-4042-9D7A-F6743821B574}" srcOrd="0" destOrd="0" presId="urn:microsoft.com/office/officeart/2005/8/layout/bProcess3"/>
    <dgm:cxn modelId="{D85322D5-7BBE-45C4-9FAC-4E25C4A87A39}" srcId="{91F9170C-A913-4156-86F7-3BCFC97C064B}" destId="{4FDD9052-4CA8-4AFF-AE0A-916F4C9104A9}" srcOrd="4" destOrd="0" parTransId="{C4B529AA-6431-4A27-B29B-60810623E96F}" sibTransId="{4EA3AA78-E411-457F-BEBE-C5B7AA97BD09}"/>
    <dgm:cxn modelId="{7D5F8DDB-5828-4FBB-A01D-B8990516897F}" type="presOf" srcId="{B44FD617-0282-4718-B7F3-E6157A47F46E}" destId="{D553399A-0286-4D56-A5AE-2ADEE3C33EBD}" srcOrd="0" destOrd="0" presId="urn:microsoft.com/office/officeart/2005/8/layout/bProcess3"/>
    <dgm:cxn modelId="{49650AE7-3B2C-4DC9-8C80-7AF226FD9C7D}" type="presOf" srcId="{6EB6A129-2685-41FD-AC65-3FA7244656AC}" destId="{8857B6B9-0D1F-42F6-AA40-82AFF1FF3639}" srcOrd="1" destOrd="0" presId="urn:microsoft.com/office/officeart/2005/8/layout/bProcess3"/>
    <dgm:cxn modelId="{D399F7E9-B63F-49CC-BFEE-A49C5782B923}" type="presOf" srcId="{9EB883C1-A31A-4FE2-B569-60DDF4710D9C}" destId="{1AA4714B-B82D-4EC9-9BE7-F1A57D28A6F1}" srcOrd="0" destOrd="0" presId="urn:microsoft.com/office/officeart/2005/8/layout/bProcess3"/>
    <dgm:cxn modelId="{191700F2-5CBE-45CD-A28A-1420F8AB63F6}" type="presOf" srcId="{67975414-8352-4408-9C12-676B9E7E8551}" destId="{CE8E7E60-9078-4743-AA41-E0689F842F96}" srcOrd="1" destOrd="0" presId="urn:microsoft.com/office/officeart/2005/8/layout/bProcess3"/>
    <dgm:cxn modelId="{EB5D7FF9-BF1A-41DF-8F53-2D2758F12BE7}" type="presOf" srcId="{6D781C85-BA25-4E69-8CE2-9236D7B4D509}" destId="{56D71156-27D2-46DA-8264-113C54A57336}" srcOrd="0" destOrd="0" presId="urn:microsoft.com/office/officeart/2005/8/layout/bProcess3"/>
    <dgm:cxn modelId="{5B6B44FB-9F76-40C7-B3C2-7FA29D20E10C}" type="presOf" srcId="{79EFA2AF-B227-4212-893E-B7AABFC589AF}" destId="{74BE20CD-971A-487C-A0D2-4B10CFB4EE29}" srcOrd="1" destOrd="0" presId="urn:microsoft.com/office/officeart/2005/8/layout/bProcess3"/>
    <dgm:cxn modelId="{6B49ABFB-84F3-429B-9FC4-0CA57314E624}" type="presOf" srcId="{91F9170C-A913-4156-86F7-3BCFC97C064B}" destId="{CFEDF260-5FB8-4640-9CC4-B44759D6AF24}" srcOrd="0" destOrd="0" presId="urn:microsoft.com/office/officeart/2005/8/layout/bProcess3"/>
    <dgm:cxn modelId="{8A747C4B-4732-41E4-8FAA-8DDD2FDD6264}" type="presParOf" srcId="{CFEDF260-5FB8-4640-9CC4-B44759D6AF24}" destId="{FF0365C9-FA51-446F-BEEE-1791BCBF822D}" srcOrd="0" destOrd="0" presId="urn:microsoft.com/office/officeart/2005/8/layout/bProcess3"/>
    <dgm:cxn modelId="{525D0E78-A842-4038-8BB5-C7053BA89E77}" type="presParOf" srcId="{CFEDF260-5FB8-4640-9CC4-B44759D6AF24}" destId="{99FA9021-1AAD-4C8D-9DEE-0F1CB95C09C9}" srcOrd="1" destOrd="0" presId="urn:microsoft.com/office/officeart/2005/8/layout/bProcess3"/>
    <dgm:cxn modelId="{732E001E-E4A3-4CA6-8AE4-0BDA373B8D32}" type="presParOf" srcId="{99FA9021-1AAD-4C8D-9DEE-0F1CB95C09C9}" destId="{CE8E7E60-9078-4743-AA41-E0689F842F96}" srcOrd="0" destOrd="0" presId="urn:microsoft.com/office/officeart/2005/8/layout/bProcess3"/>
    <dgm:cxn modelId="{EA0DAE86-65A4-401E-8ECA-F82CB21145D1}" type="presParOf" srcId="{CFEDF260-5FB8-4640-9CC4-B44759D6AF24}" destId="{D553399A-0286-4D56-A5AE-2ADEE3C33EBD}" srcOrd="2" destOrd="0" presId="urn:microsoft.com/office/officeart/2005/8/layout/bProcess3"/>
    <dgm:cxn modelId="{B266A9AC-D62E-4D99-AD86-FC3B1E740800}" type="presParOf" srcId="{CFEDF260-5FB8-4640-9CC4-B44759D6AF24}" destId="{74B68C91-D67A-4295-B822-E1C5324D48A3}" srcOrd="3" destOrd="0" presId="urn:microsoft.com/office/officeart/2005/8/layout/bProcess3"/>
    <dgm:cxn modelId="{ED6043FC-5274-459D-B720-8C9C28E9BC33}" type="presParOf" srcId="{74B68C91-D67A-4295-B822-E1C5324D48A3}" destId="{88992228-4493-441C-A8F9-D43FD63966C9}" srcOrd="0" destOrd="0" presId="urn:microsoft.com/office/officeart/2005/8/layout/bProcess3"/>
    <dgm:cxn modelId="{8D37B3DE-C2E3-425D-BFAC-EE19A79F2129}" type="presParOf" srcId="{CFEDF260-5FB8-4640-9CC4-B44759D6AF24}" destId="{9B0C8580-099D-4B98-970E-EF6548B18541}" srcOrd="4" destOrd="0" presId="urn:microsoft.com/office/officeart/2005/8/layout/bProcess3"/>
    <dgm:cxn modelId="{03B2C2FE-F8FE-4F54-8055-CF464CC67CFD}" type="presParOf" srcId="{CFEDF260-5FB8-4640-9CC4-B44759D6AF24}" destId="{464F768E-076C-49E7-88B0-D8254008C930}" srcOrd="5" destOrd="0" presId="urn:microsoft.com/office/officeart/2005/8/layout/bProcess3"/>
    <dgm:cxn modelId="{B2E0E9AB-A693-4AFD-8C0A-2ABD97B7ADA7}" type="presParOf" srcId="{464F768E-076C-49E7-88B0-D8254008C930}" destId="{74BE20CD-971A-487C-A0D2-4B10CFB4EE29}" srcOrd="0" destOrd="0" presId="urn:microsoft.com/office/officeart/2005/8/layout/bProcess3"/>
    <dgm:cxn modelId="{64EF3513-FEC6-4C2A-BDE4-A481BA6FC968}" type="presParOf" srcId="{CFEDF260-5FB8-4640-9CC4-B44759D6AF24}" destId="{9876749D-2E7F-47AD-A2FA-D6D952B7FE1A}" srcOrd="6" destOrd="0" presId="urn:microsoft.com/office/officeart/2005/8/layout/bProcess3"/>
    <dgm:cxn modelId="{16BC0904-26E4-459C-A27F-AF70913AA69B}" type="presParOf" srcId="{CFEDF260-5FB8-4640-9CC4-B44759D6AF24}" destId="{28BDB204-6F7C-4A85-94CD-C67DBCAB5D2F}" srcOrd="7" destOrd="0" presId="urn:microsoft.com/office/officeart/2005/8/layout/bProcess3"/>
    <dgm:cxn modelId="{7C84DF62-1829-4428-BBE5-B109BB63C850}" type="presParOf" srcId="{28BDB204-6F7C-4A85-94CD-C67DBCAB5D2F}" destId="{63B3B670-BBF4-489C-BD20-B6E9FC760BDF}" srcOrd="0" destOrd="0" presId="urn:microsoft.com/office/officeart/2005/8/layout/bProcess3"/>
    <dgm:cxn modelId="{768F6BD7-BB29-4718-8745-996FB59D5445}" type="presParOf" srcId="{CFEDF260-5FB8-4640-9CC4-B44759D6AF24}" destId="{79A6099A-41E0-457B-91B2-11A5A6CC1B3C}" srcOrd="8" destOrd="0" presId="urn:microsoft.com/office/officeart/2005/8/layout/bProcess3"/>
    <dgm:cxn modelId="{F1F80F77-0031-43F4-A374-1EBD0FBFA64A}" type="presParOf" srcId="{CFEDF260-5FB8-4640-9CC4-B44759D6AF24}" destId="{AB7D42CA-8485-441F-B68E-CFD05237E9AF}" srcOrd="9" destOrd="0" presId="urn:microsoft.com/office/officeart/2005/8/layout/bProcess3"/>
    <dgm:cxn modelId="{49919C23-AFF1-416A-A524-C036059EA5F5}" type="presParOf" srcId="{AB7D42CA-8485-441F-B68E-CFD05237E9AF}" destId="{E7DE93A0-ED27-4617-9DB0-75675A0C44F2}" srcOrd="0" destOrd="0" presId="urn:microsoft.com/office/officeart/2005/8/layout/bProcess3"/>
    <dgm:cxn modelId="{7A400B21-5658-4906-9E58-30B99061E98C}" type="presParOf" srcId="{CFEDF260-5FB8-4640-9CC4-B44759D6AF24}" destId="{2FB92436-A73B-45F8-B00E-CCC59AE8B21A}" srcOrd="10" destOrd="0" presId="urn:microsoft.com/office/officeart/2005/8/layout/bProcess3"/>
    <dgm:cxn modelId="{A9418686-66A8-49FA-A41B-7427EC3162F3}" type="presParOf" srcId="{CFEDF260-5FB8-4640-9CC4-B44759D6AF24}" destId="{56D71156-27D2-46DA-8264-113C54A57336}" srcOrd="11" destOrd="0" presId="urn:microsoft.com/office/officeart/2005/8/layout/bProcess3"/>
    <dgm:cxn modelId="{939780FD-3F6D-4876-A02F-327E09D24AC6}" type="presParOf" srcId="{56D71156-27D2-46DA-8264-113C54A57336}" destId="{5BB6253E-E1FD-4F01-9038-306626C58099}" srcOrd="0" destOrd="0" presId="urn:microsoft.com/office/officeart/2005/8/layout/bProcess3"/>
    <dgm:cxn modelId="{93602BCA-BC68-4C49-B18F-85B197D87832}" type="presParOf" srcId="{CFEDF260-5FB8-4640-9CC4-B44759D6AF24}" destId="{064040A3-F676-49ED-B369-3ABC80C4DCFD}" srcOrd="12" destOrd="0" presId="urn:microsoft.com/office/officeart/2005/8/layout/bProcess3"/>
    <dgm:cxn modelId="{7C99FACC-4C06-47BD-A58E-9B0CFD72FD82}" type="presParOf" srcId="{CFEDF260-5FB8-4640-9CC4-B44759D6AF24}" destId="{B14B31D7-C06F-4993-9733-4FF0F60ACABF}" srcOrd="13" destOrd="0" presId="urn:microsoft.com/office/officeart/2005/8/layout/bProcess3"/>
    <dgm:cxn modelId="{37F3AD12-395B-4052-ACB3-CBFB94286338}" type="presParOf" srcId="{B14B31D7-C06F-4993-9733-4FF0F60ACABF}" destId="{8857B6B9-0D1F-42F6-AA40-82AFF1FF3639}" srcOrd="0" destOrd="0" presId="urn:microsoft.com/office/officeart/2005/8/layout/bProcess3"/>
    <dgm:cxn modelId="{85249FFE-84FE-4BEB-A0B4-7FB0CDD71332}" type="presParOf" srcId="{CFEDF260-5FB8-4640-9CC4-B44759D6AF24}" destId="{1AA4714B-B82D-4EC9-9BE7-F1A57D28A6F1}" srcOrd="14" destOrd="0" presId="urn:microsoft.com/office/officeart/2005/8/layout/bProcess3"/>
    <dgm:cxn modelId="{92A079E5-E407-4FB4-B24F-D5E9A4712DDC}" type="presParOf" srcId="{CFEDF260-5FB8-4640-9CC4-B44759D6AF24}" destId="{DFC10AEB-759B-4B9D-B4F0-7DFB62DF9FE8}" srcOrd="15" destOrd="0" presId="urn:microsoft.com/office/officeart/2005/8/layout/bProcess3"/>
    <dgm:cxn modelId="{39B28D36-3DB1-437E-87CB-8FDE171A6A29}" type="presParOf" srcId="{DFC10AEB-759B-4B9D-B4F0-7DFB62DF9FE8}" destId="{1A352A84-E62E-4420-9024-3F1A1BB748CB}" srcOrd="0" destOrd="0" presId="urn:microsoft.com/office/officeart/2005/8/layout/bProcess3"/>
    <dgm:cxn modelId="{D9A50D1A-CED2-4CDC-BDE9-9EAD580BF129}" type="presParOf" srcId="{CFEDF260-5FB8-4640-9CC4-B44759D6AF24}" destId="{70025476-83FC-47C9-B9F2-AD2E6934E8C7}" srcOrd="16" destOrd="0" presId="urn:microsoft.com/office/officeart/2005/8/layout/bProcess3"/>
    <dgm:cxn modelId="{C597FFDC-8972-4E9F-A1CF-E1953D8D2925}" type="presParOf" srcId="{CFEDF260-5FB8-4640-9CC4-B44759D6AF24}" destId="{6BE6510C-8D16-4042-9D7A-F6743821B574}" srcOrd="17" destOrd="0" presId="urn:microsoft.com/office/officeart/2005/8/layout/bProcess3"/>
    <dgm:cxn modelId="{52ACF166-6FD1-43AE-85B8-E23E896DFAFD}" type="presParOf" srcId="{6BE6510C-8D16-4042-9D7A-F6743821B574}" destId="{5645C927-5A7D-4753-A169-F0102655658F}" srcOrd="0" destOrd="0" presId="urn:microsoft.com/office/officeart/2005/8/layout/bProcess3"/>
    <dgm:cxn modelId="{BF3746B0-F260-40BA-9DC7-E342AB84B723}" type="presParOf" srcId="{CFEDF260-5FB8-4640-9CC4-B44759D6AF24}" destId="{4757CFFD-4C1F-4398-A3EA-A9C1A2AFB8A5}" srcOrd="18" destOrd="0" presId="urn:microsoft.com/office/officeart/2005/8/layout/b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FA9021-1AAD-4C8D-9DEE-0F1CB95C09C9}">
      <dsp:nvSpPr>
        <dsp:cNvPr id="0" name=""/>
        <dsp:cNvSpPr/>
      </dsp:nvSpPr>
      <dsp:spPr>
        <a:xfrm>
          <a:off x="1834447" y="424903"/>
          <a:ext cx="327176" cy="91440"/>
        </a:xfrm>
        <a:custGeom>
          <a:avLst/>
          <a:gdLst/>
          <a:ahLst/>
          <a:cxnLst/>
          <a:rect l="0" t="0" r="0" b="0"/>
          <a:pathLst>
            <a:path>
              <a:moveTo>
                <a:pt x="0" y="45720"/>
              </a:moveTo>
              <a:lnTo>
                <a:pt x="327176" y="45720"/>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989091" y="468834"/>
        <a:ext cx="17888" cy="3577"/>
      </dsp:txXfrm>
    </dsp:sp>
    <dsp:sp modelId="{FF0365C9-FA51-446F-BEEE-1791BCBF822D}">
      <dsp:nvSpPr>
        <dsp:cNvPr id="0" name=""/>
        <dsp:cNvSpPr/>
      </dsp:nvSpPr>
      <dsp:spPr>
        <a:xfrm>
          <a:off x="280695" y="3957"/>
          <a:ext cx="1555551" cy="933330"/>
        </a:xfrm>
        <a:prstGeom prst="rect">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t>1865</a:t>
          </a:r>
        </a:p>
        <a:p>
          <a:pPr marL="0" lvl="0" indent="0" algn="ctr" defTabSz="533400">
            <a:lnSpc>
              <a:spcPct val="90000"/>
            </a:lnSpc>
            <a:spcBef>
              <a:spcPct val="0"/>
            </a:spcBef>
            <a:spcAft>
              <a:spcPct val="35000"/>
            </a:spcAft>
            <a:buNone/>
          </a:pPr>
          <a:r>
            <a:rPr lang="en-US" sz="1200" kern="1200"/>
            <a:t>Land Reversals (1865) and Land Seizures (1865-Present Day)</a:t>
          </a:r>
        </a:p>
      </dsp:txBody>
      <dsp:txXfrm>
        <a:off x="280695" y="3957"/>
        <a:ext cx="1555551" cy="933330"/>
      </dsp:txXfrm>
    </dsp:sp>
    <dsp:sp modelId="{74B68C91-D67A-4295-B822-E1C5324D48A3}">
      <dsp:nvSpPr>
        <dsp:cNvPr id="0" name=""/>
        <dsp:cNvSpPr/>
      </dsp:nvSpPr>
      <dsp:spPr>
        <a:xfrm>
          <a:off x="3747775" y="424903"/>
          <a:ext cx="327176" cy="91440"/>
        </a:xfrm>
        <a:custGeom>
          <a:avLst/>
          <a:gdLst/>
          <a:ahLst/>
          <a:cxnLst/>
          <a:rect l="0" t="0" r="0" b="0"/>
          <a:pathLst>
            <a:path>
              <a:moveTo>
                <a:pt x="0" y="45720"/>
              </a:moveTo>
              <a:lnTo>
                <a:pt x="327176" y="45720"/>
              </a:lnTo>
            </a:path>
          </a:pathLst>
        </a:custGeom>
        <a:noFill/>
        <a:ln w="6350" cap="flat" cmpd="sng" algn="ctr">
          <a:solidFill>
            <a:schemeClr val="accent3">
              <a:hueOff val="338825"/>
              <a:satOff val="12500"/>
              <a:lumOff val="-1838"/>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902419" y="468834"/>
        <a:ext cx="17888" cy="3577"/>
      </dsp:txXfrm>
    </dsp:sp>
    <dsp:sp modelId="{D553399A-0286-4D56-A5AE-2ADEE3C33EBD}">
      <dsp:nvSpPr>
        <dsp:cNvPr id="0" name=""/>
        <dsp:cNvSpPr/>
      </dsp:nvSpPr>
      <dsp:spPr>
        <a:xfrm>
          <a:off x="2194024" y="3957"/>
          <a:ext cx="1555551" cy="933330"/>
        </a:xfrm>
        <a:prstGeom prst="rect">
          <a:avLst/>
        </a:prstGeom>
        <a:solidFill>
          <a:schemeClr val="accent3">
            <a:hueOff val="301178"/>
            <a:satOff val="11111"/>
            <a:lumOff val="-163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t>1933</a:t>
          </a:r>
        </a:p>
        <a:p>
          <a:pPr marL="0" lvl="0" indent="0" algn="ctr" defTabSz="533400">
            <a:lnSpc>
              <a:spcPct val="90000"/>
            </a:lnSpc>
            <a:spcBef>
              <a:spcPct val="0"/>
            </a:spcBef>
            <a:spcAft>
              <a:spcPct val="35000"/>
            </a:spcAft>
            <a:buNone/>
          </a:pPr>
          <a:r>
            <a:rPr lang="en-US" sz="1200" kern="1200"/>
            <a:t>Public Works Administration</a:t>
          </a:r>
        </a:p>
      </dsp:txBody>
      <dsp:txXfrm>
        <a:off x="2194024" y="3957"/>
        <a:ext cx="1555551" cy="933330"/>
      </dsp:txXfrm>
    </dsp:sp>
    <dsp:sp modelId="{464F768E-076C-49E7-88B0-D8254008C930}">
      <dsp:nvSpPr>
        <dsp:cNvPr id="0" name=""/>
        <dsp:cNvSpPr/>
      </dsp:nvSpPr>
      <dsp:spPr>
        <a:xfrm>
          <a:off x="1058471" y="935488"/>
          <a:ext cx="3826656" cy="327176"/>
        </a:xfrm>
        <a:custGeom>
          <a:avLst/>
          <a:gdLst/>
          <a:ahLst/>
          <a:cxnLst/>
          <a:rect l="0" t="0" r="0" b="0"/>
          <a:pathLst>
            <a:path>
              <a:moveTo>
                <a:pt x="3826656" y="0"/>
              </a:moveTo>
              <a:lnTo>
                <a:pt x="3826656" y="180688"/>
              </a:lnTo>
              <a:lnTo>
                <a:pt x="0" y="180688"/>
              </a:lnTo>
              <a:lnTo>
                <a:pt x="0" y="327176"/>
              </a:lnTo>
            </a:path>
          </a:pathLst>
        </a:custGeom>
        <a:noFill/>
        <a:ln w="6350" cap="flat" cmpd="sng" algn="ctr">
          <a:solidFill>
            <a:schemeClr val="accent3">
              <a:hueOff val="677650"/>
              <a:satOff val="25000"/>
              <a:lumOff val="-3676"/>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875716" y="1097288"/>
        <a:ext cx="192167" cy="3577"/>
      </dsp:txXfrm>
    </dsp:sp>
    <dsp:sp modelId="{9B0C8580-099D-4B98-970E-EF6548B18541}">
      <dsp:nvSpPr>
        <dsp:cNvPr id="0" name=""/>
        <dsp:cNvSpPr/>
      </dsp:nvSpPr>
      <dsp:spPr>
        <a:xfrm>
          <a:off x="4107352" y="3957"/>
          <a:ext cx="1555551" cy="933330"/>
        </a:xfrm>
        <a:prstGeom prst="rect">
          <a:avLst/>
        </a:prstGeom>
        <a:solidFill>
          <a:schemeClr val="accent3">
            <a:hueOff val="602355"/>
            <a:satOff val="22222"/>
            <a:lumOff val="-326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t>1934</a:t>
          </a:r>
        </a:p>
        <a:p>
          <a:pPr marL="0" lvl="0" indent="0" algn="ctr" defTabSz="533400">
            <a:lnSpc>
              <a:spcPct val="90000"/>
            </a:lnSpc>
            <a:spcBef>
              <a:spcPct val="0"/>
            </a:spcBef>
            <a:spcAft>
              <a:spcPct val="35000"/>
            </a:spcAft>
            <a:buNone/>
          </a:pPr>
          <a:r>
            <a:rPr lang="en-US" sz="1200" kern="1200"/>
            <a:t>National Housing Act</a:t>
          </a:r>
        </a:p>
      </dsp:txBody>
      <dsp:txXfrm>
        <a:off x="4107352" y="3957"/>
        <a:ext cx="1555551" cy="933330"/>
      </dsp:txXfrm>
    </dsp:sp>
    <dsp:sp modelId="{28BDB204-6F7C-4A85-94CD-C67DBCAB5D2F}">
      <dsp:nvSpPr>
        <dsp:cNvPr id="0" name=""/>
        <dsp:cNvSpPr/>
      </dsp:nvSpPr>
      <dsp:spPr>
        <a:xfrm>
          <a:off x="1834447" y="1716011"/>
          <a:ext cx="327176" cy="91440"/>
        </a:xfrm>
        <a:custGeom>
          <a:avLst/>
          <a:gdLst/>
          <a:ahLst/>
          <a:cxnLst/>
          <a:rect l="0" t="0" r="0" b="0"/>
          <a:pathLst>
            <a:path>
              <a:moveTo>
                <a:pt x="0" y="45720"/>
              </a:moveTo>
              <a:lnTo>
                <a:pt x="327176" y="45720"/>
              </a:lnTo>
            </a:path>
          </a:pathLst>
        </a:custGeom>
        <a:noFill/>
        <a:ln w="6350" cap="flat" cmpd="sng" algn="ctr">
          <a:solidFill>
            <a:schemeClr val="accent3">
              <a:hueOff val="1016475"/>
              <a:satOff val="37500"/>
              <a:lumOff val="-5515"/>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989091" y="1759942"/>
        <a:ext cx="17888" cy="3577"/>
      </dsp:txXfrm>
    </dsp:sp>
    <dsp:sp modelId="{9876749D-2E7F-47AD-A2FA-D6D952B7FE1A}">
      <dsp:nvSpPr>
        <dsp:cNvPr id="0" name=""/>
        <dsp:cNvSpPr/>
      </dsp:nvSpPr>
      <dsp:spPr>
        <a:xfrm>
          <a:off x="280695" y="1295065"/>
          <a:ext cx="1555551" cy="933330"/>
        </a:xfrm>
        <a:prstGeom prst="rect">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t>1934</a:t>
          </a:r>
        </a:p>
        <a:p>
          <a:pPr marL="0" lvl="0" indent="0" algn="ctr" defTabSz="533400">
            <a:lnSpc>
              <a:spcPct val="90000"/>
            </a:lnSpc>
            <a:spcBef>
              <a:spcPct val="0"/>
            </a:spcBef>
            <a:spcAft>
              <a:spcPct val="35000"/>
            </a:spcAft>
            <a:buNone/>
          </a:pPr>
          <a:r>
            <a:rPr lang="en-US" sz="1200" kern="1200"/>
            <a:t>Federal Housing Administration</a:t>
          </a:r>
        </a:p>
      </dsp:txBody>
      <dsp:txXfrm>
        <a:off x="280695" y="1295065"/>
        <a:ext cx="1555551" cy="933330"/>
      </dsp:txXfrm>
    </dsp:sp>
    <dsp:sp modelId="{AB7D42CA-8485-441F-B68E-CFD05237E9AF}">
      <dsp:nvSpPr>
        <dsp:cNvPr id="0" name=""/>
        <dsp:cNvSpPr/>
      </dsp:nvSpPr>
      <dsp:spPr>
        <a:xfrm>
          <a:off x="3747775" y="1716011"/>
          <a:ext cx="327176" cy="91440"/>
        </a:xfrm>
        <a:custGeom>
          <a:avLst/>
          <a:gdLst/>
          <a:ahLst/>
          <a:cxnLst/>
          <a:rect l="0" t="0" r="0" b="0"/>
          <a:pathLst>
            <a:path>
              <a:moveTo>
                <a:pt x="0" y="45720"/>
              </a:moveTo>
              <a:lnTo>
                <a:pt x="327176" y="45720"/>
              </a:lnTo>
            </a:path>
          </a:pathLst>
        </a:custGeom>
        <a:noFill/>
        <a:ln w="6350" cap="flat" cmpd="sng" algn="ctr">
          <a:solidFill>
            <a:schemeClr val="accent3">
              <a:hueOff val="1355300"/>
              <a:satOff val="50000"/>
              <a:lumOff val="-7353"/>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902419" y="1759942"/>
        <a:ext cx="17888" cy="3577"/>
      </dsp:txXfrm>
    </dsp:sp>
    <dsp:sp modelId="{79A6099A-41E0-457B-91B2-11A5A6CC1B3C}">
      <dsp:nvSpPr>
        <dsp:cNvPr id="0" name=""/>
        <dsp:cNvSpPr/>
      </dsp:nvSpPr>
      <dsp:spPr>
        <a:xfrm>
          <a:off x="2194024" y="1295065"/>
          <a:ext cx="1555551" cy="933330"/>
        </a:xfrm>
        <a:prstGeom prst="rect">
          <a:avLst/>
        </a:prstGeom>
        <a:solidFill>
          <a:schemeClr val="accent3">
            <a:hueOff val="1204711"/>
            <a:satOff val="44444"/>
            <a:lumOff val="-653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t>1935</a:t>
          </a:r>
        </a:p>
        <a:p>
          <a:pPr marL="0" lvl="0" indent="0" algn="ctr" defTabSz="533400">
            <a:lnSpc>
              <a:spcPct val="90000"/>
            </a:lnSpc>
            <a:spcBef>
              <a:spcPct val="0"/>
            </a:spcBef>
            <a:spcAft>
              <a:spcPct val="35000"/>
            </a:spcAft>
            <a:buNone/>
          </a:pPr>
          <a:r>
            <a:rPr lang="en-US" sz="1200" kern="1200"/>
            <a:t>Social Security Act</a:t>
          </a:r>
        </a:p>
      </dsp:txBody>
      <dsp:txXfrm>
        <a:off x="2194024" y="1295065"/>
        <a:ext cx="1555551" cy="933330"/>
      </dsp:txXfrm>
    </dsp:sp>
    <dsp:sp modelId="{56D71156-27D2-46DA-8264-113C54A57336}">
      <dsp:nvSpPr>
        <dsp:cNvPr id="0" name=""/>
        <dsp:cNvSpPr/>
      </dsp:nvSpPr>
      <dsp:spPr>
        <a:xfrm>
          <a:off x="1058471" y="2226596"/>
          <a:ext cx="3826656" cy="327176"/>
        </a:xfrm>
        <a:custGeom>
          <a:avLst/>
          <a:gdLst/>
          <a:ahLst/>
          <a:cxnLst/>
          <a:rect l="0" t="0" r="0" b="0"/>
          <a:pathLst>
            <a:path>
              <a:moveTo>
                <a:pt x="3826656" y="0"/>
              </a:moveTo>
              <a:lnTo>
                <a:pt x="3826656" y="180688"/>
              </a:lnTo>
              <a:lnTo>
                <a:pt x="0" y="180688"/>
              </a:lnTo>
              <a:lnTo>
                <a:pt x="0" y="327176"/>
              </a:lnTo>
            </a:path>
          </a:pathLst>
        </a:custGeom>
        <a:noFill/>
        <a:ln w="6350" cap="flat" cmpd="sng" algn="ctr">
          <a:solidFill>
            <a:schemeClr val="accent3">
              <a:hueOff val="1694124"/>
              <a:satOff val="62500"/>
              <a:lumOff val="-9191"/>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875716" y="2388396"/>
        <a:ext cx="192167" cy="3577"/>
      </dsp:txXfrm>
    </dsp:sp>
    <dsp:sp modelId="{2FB92436-A73B-45F8-B00E-CCC59AE8B21A}">
      <dsp:nvSpPr>
        <dsp:cNvPr id="0" name=""/>
        <dsp:cNvSpPr/>
      </dsp:nvSpPr>
      <dsp:spPr>
        <a:xfrm>
          <a:off x="4107352" y="1295065"/>
          <a:ext cx="1555551" cy="933330"/>
        </a:xfrm>
        <a:prstGeom prst="rect">
          <a:avLst/>
        </a:prstGeom>
        <a:solidFill>
          <a:schemeClr val="accent3">
            <a:hueOff val="1505888"/>
            <a:satOff val="55556"/>
            <a:lumOff val="-817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t>1938</a:t>
          </a:r>
        </a:p>
        <a:p>
          <a:pPr marL="0" lvl="0" indent="0" algn="ctr" defTabSz="533400">
            <a:lnSpc>
              <a:spcPct val="90000"/>
            </a:lnSpc>
            <a:spcBef>
              <a:spcPct val="0"/>
            </a:spcBef>
            <a:spcAft>
              <a:spcPct val="35000"/>
            </a:spcAft>
            <a:buNone/>
          </a:pPr>
          <a:r>
            <a:rPr lang="en-US" sz="1200" kern="1200"/>
            <a:t>Fair Labor Standards Act</a:t>
          </a:r>
        </a:p>
      </dsp:txBody>
      <dsp:txXfrm>
        <a:off x="4107352" y="1295065"/>
        <a:ext cx="1555551" cy="933330"/>
      </dsp:txXfrm>
    </dsp:sp>
    <dsp:sp modelId="{B14B31D7-C06F-4993-9733-4FF0F60ACABF}">
      <dsp:nvSpPr>
        <dsp:cNvPr id="0" name=""/>
        <dsp:cNvSpPr/>
      </dsp:nvSpPr>
      <dsp:spPr>
        <a:xfrm>
          <a:off x="1834447" y="3007118"/>
          <a:ext cx="327176" cy="91440"/>
        </a:xfrm>
        <a:custGeom>
          <a:avLst/>
          <a:gdLst/>
          <a:ahLst/>
          <a:cxnLst/>
          <a:rect l="0" t="0" r="0" b="0"/>
          <a:pathLst>
            <a:path>
              <a:moveTo>
                <a:pt x="0" y="45720"/>
              </a:moveTo>
              <a:lnTo>
                <a:pt x="327176" y="45720"/>
              </a:lnTo>
            </a:path>
          </a:pathLst>
        </a:custGeom>
        <a:noFill/>
        <a:ln w="6350" cap="flat" cmpd="sng" algn="ctr">
          <a:solidFill>
            <a:schemeClr val="accent3">
              <a:hueOff val="2032949"/>
              <a:satOff val="75000"/>
              <a:lumOff val="-11029"/>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989091" y="3051050"/>
        <a:ext cx="17888" cy="3577"/>
      </dsp:txXfrm>
    </dsp:sp>
    <dsp:sp modelId="{064040A3-F676-49ED-B369-3ABC80C4DCFD}">
      <dsp:nvSpPr>
        <dsp:cNvPr id="0" name=""/>
        <dsp:cNvSpPr/>
      </dsp:nvSpPr>
      <dsp:spPr>
        <a:xfrm>
          <a:off x="280695" y="2586173"/>
          <a:ext cx="1555551" cy="933330"/>
        </a:xfrm>
        <a:prstGeom prst="rect">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t>1944</a:t>
          </a:r>
        </a:p>
        <a:p>
          <a:pPr marL="0" lvl="0" indent="0" algn="ctr" defTabSz="533400">
            <a:lnSpc>
              <a:spcPct val="90000"/>
            </a:lnSpc>
            <a:spcBef>
              <a:spcPct val="0"/>
            </a:spcBef>
            <a:spcAft>
              <a:spcPct val="35000"/>
            </a:spcAft>
            <a:buNone/>
          </a:pPr>
          <a:r>
            <a:rPr lang="en-US" sz="1200" kern="1200"/>
            <a:t>G.I. Bill</a:t>
          </a:r>
        </a:p>
      </dsp:txBody>
      <dsp:txXfrm>
        <a:off x="280695" y="2586173"/>
        <a:ext cx="1555551" cy="933330"/>
      </dsp:txXfrm>
    </dsp:sp>
    <dsp:sp modelId="{DFC10AEB-759B-4B9D-B4F0-7DFB62DF9FE8}">
      <dsp:nvSpPr>
        <dsp:cNvPr id="0" name=""/>
        <dsp:cNvSpPr/>
      </dsp:nvSpPr>
      <dsp:spPr>
        <a:xfrm>
          <a:off x="3747775" y="3007118"/>
          <a:ext cx="327176" cy="91440"/>
        </a:xfrm>
        <a:custGeom>
          <a:avLst/>
          <a:gdLst/>
          <a:ahLst/>
          <a:cxnLst/>
          <a:rect l="0" t="0" r="0" b="0"/>
          <a:pathLst>
            <a:path>
              <a:moveTo>
                <a:pt x="0" y="45720"/>
              </a:moveTo>
              <a:lnTo>
                <a:pt x="327176" y="45720"/>
              </a:lnTo>
            </a:path>
          </a:pathLst>
        </a:custGeom>
        <a:noFill/>
        <a:ln w="6350" cap="flat" cmpd="sng" algn="ctr">
          <a:solidFill>
            <a:schemeClr val="accent3">
              <a:hueOff val="2371774"/>
              <a:satOff val="87500"/>
              <a:lumOff val="-12868"/>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902419" y="3051050"/>
        <a:ext cx="17888" cy="3577"/>
      </dsp:txXfrm>
    </dsp:sp>
    <dsp:sp modelId="{1AA4714B-B82D-4EC9-9BE7-F1A57D28A6F1}">
      <dsp:nvSpPr>
        <dsp:cNvPr id="0" name=""/>
        <dsp:cNvSpPr/>
      </dsp:nvSpPr>
      <dsp:spPr>
        <a:xfrm>
          <a:off x="2194024" y="2586173"/>
          <a:ext cx="1555551" cy="933330"/>
        </a:xfrm>
        <a:prstGeom prst="rect">
          <a:avLst/>
        </a:prstGeom>
        <a:solidFill>
          <a:schemeClr val="accent3">
            <a:hueOff val="2108244"/>
            <a:satOff val="77778"/>
            <a:lumOff val="-1143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t>1955</a:t>
          </a:r>
        </a:p>
        <a:p>
          <a:pPr marL="0" lvl="0" indent="0" algn="ctr" defTabSz="533400">
            <a:lnSpc>
              <a:spcPct val="90000"/>
            </a:lnSpc>
            <a:spcBef>
              <a:spcPct val="0"/>
            </a:spcBef>
            <a:spcAft>
              <a:spcPct val="35000"/>
            </a:spcAft>
            <a:buNone/>
          </a:pPr>
          <a:r>
            <a:rPr lang="en-US" sz="1200" kern="1200"/>
            <a:t>Urban Renewal Projects</a:t>
          </a:r>
        </a:p>
      </dsp:txBody>
      <dsp:txXfrm>
        <a:off x="2194024" y="2586173"/>
        <a:ext cx="1555551" cy="933330"/>
      </dsp:txXfrm>
    </dsp:sp>
    <dsp:sp modelId="{6BE6510C-8D16-4042-9D7A-F6743821B574}">
      <dsp:nvSpPr>
        <dsp:cNvPr id="0" name=""/>
        <dsp:cNvSpPr/>
      </dsp:nvSpPr>
      <dsp:spPr>
        <a:xfrm>
          <a:off x="1058471" y="3517704"/>
          <a:ext cx="3826656" cy="327176"/>
        </a:xfrm>
        <a:custGeom>
          <a:avLst/>
          <a:gdLst/>
          <a:ahLst/>
          <a:cxnLst/>
          <a:rect l="0" t="0" r="0" b="0"/>
          <a:pathLst>
            <a:path>
              <a:moveTo>
                <a:pt x="3826656" y="0"/>
              </a:moveTo>
              <a:lnTo>
                <a:pt x="3826656" y="180688"/>
              </a:lnTo>
              <a:lnTo>
                <a:pt x="0" y="180688"/>
              </a:lnTo>
              <a:lnTo>
                <a:pt x="0" y="327176"/>
              </a:lnTo>
            </a:path>
          </a:pathLst>
        </a:custGeom>
        <a:noFill/>
        <a:ln w="6350" cap="flat" cmpd="sng" algn="ctr">
          <a:solidFill>
            <a:schemeClr val="accent3">
              <a:hueOff val="2710599"/>
              <a:satOff val="100000"/>
              <a:lumOff val="-14706"/>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875716" y="3679503"/>
        <a:ext cx="192167" cy="3577"/>
      </dsp:txXfrm>
    </dsp:sp>
    <dsp:sp modelId="{70025476-83FC-47C9-B9F2-AD2E6934E8C7}">
      <dsp:nvSpPr>
        <dsp:cNvPr id="0" name=""/>
        <dsp:cNvSpPr/>
      </dsp:nvSpPr>
      <dsp:spPr>
        <a:xfrm>
          <a:off x="4107352" y="2586173"/>
          <a:ext cx="1555551" cy="933330"/>
        </a:xfrm>
        <a:prstGeom prst="rect">
          <a:avLst/>
        </a:prstGeom>
        <a:solidFill>
          <a:schemeClr val="accent3">
            <a:hueOff val="2409421"/>
            <a:satOff val="88889"/>
            <a:lumOff val="-1307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t>1970s-Present</a:t>
          </a:r>
        </a:p>
        <a:p>
          <a:pPr marL="0" lvl="0" indent="0" algn="ctr" defTabSz="533400">
            <a:lnSpc>
              <a:spcPct val="90000"/>
            </a:lnSpc>
            <a:spcBef>
              <a:spcPct val="0"/>
            </a:spcBef>
            <a:spcAft>
              <a:spcPct val="35000"/>
            </a:spcAft>
            <a:buNone/>
          </a:pPr>
          <a:r>
            <a:rPr lang="en-US" sz="1200" kern="1200"/>
            <a:t>Subprime Loans (1970s-Present Day)</a:t>
          </a:r>
        </a:p>
      </dsp:txBody>
      <dsp:txXfrm>
        <a:off x="4107352" y="2586173"/>
        <a:ext cx="1555551" cy="933330"/>
      </dsp:txXfrm>
    </dsp:sp>
    <dsp:sp modelId="{4757CFFD-4C1F-4398-A3EA-A9C1A2AFB8A5}">
      <dsp:nvSpPr>
        <dsp:cNvPr id="0" name=""/>
        <dsp:cNvSpPr/>
      </dsp:nvSpPr>
      <dsp:spPr>
        <a:xfrm>
          <a:off x="280695" y="3877281"/>
          <a:ext cx="1555551" cy="933330"/>
        </a:xfrm>
        <a:prstGeom prst="rect">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t>1971-Present</a:t>
          </a:r>
        </a:p>
        <a:p>
          <a:pPr marL="0" lvl="0" indent="0" algn="ctr" defTabSz="533400">
            <a:lnSpc>
              <a:spcPct val="90000"/>
            </a:lnSpc>
            <a:spcBef>
              <a:spcPct val="0"/>
            </a:spcBef>
            <a:spcAft>
              <a:spcPct val="35000"/>
            </a:spcAft>
            <a:buNone/>
          </a:pPr>
          <a:r>
            <a:rPr lang="en-US" sz="1200" kern="1200"/>
            <a:t>"War on Drugs" (1971-Present Day)</a:t>
          </a:r>
        </a:p>
      </dsp:txBody>
      <dsp:txXfrm>
        <a:off x="280695" y="3877281"/>
        <a:ext cx="1555551" cy="933330"/>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AB9154C171E409E0131327301D05C" ma:contentTypeVersion="10" ma:contentTypeDescription="Create a new document." ma:contentTypeScope="" ma:versionID="870989d31917cec3ab7ec6b0cb92b48c">
  <xsd:schema xmlns:xsd="http://www.w3.org/2001/XMLSchema" xmlns:xs="http://www.w3.org/2001/XMLSchema" xmlns:p="http://schemas.microsoft.com/office/2006/metadata/properties" xmlns:ns2="876372d7-2542-4065-ad3b-22612840f7b4" xmlns:ns3="552b8659-eb92-470e-b40f-1c994b2ac523" targetNamespace="http://schemas.microsoft.com/office/2006/metadata/properties" ma:root="true" ma:fieldsID="f9618f2c0a7410779e25fd641f8ff861" ns2:_="" ns3:_="">
    <xsd:import namespace="876372d7-2542-4065-ad3b-22612840f7b4"/>
    <xsd:import namespace="552b8659-eb92-470e-b40f-1c994b2ac5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b8659-eb92-470e-b40f-1c994b2ac52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76372d7-2542-4065-ad3b-22612840f7b4">
      <UserInfo>
        <DisplayName>Meredith Dodson</DisplayName>
        <AccountId>64</AccountId>
        <AccountType/>
      </UserInfo>
      <UserInfo>
        <DisplayName>Funke Aderonmu</DisplayName>
        <AccountId>795</AccountId>
        <AccountType/>
      </UserInfo>
      <UserInfo>
        <DisplayName>Lakshmi Premysler</DisplayName>
        <AccountId>1151</AccountId>
        <AccountType/>
      </UserInfo>
      <UserInfo>
        <DisplayName>Estefany Sanabria</DisplayName>
        <AccountId>1009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F32E1-AC91-49E7-B75E-C47B53F71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372d7-2542-4065-ad3b-22612840f7b4"/>
    <ds:schemaRef ds:uri="552b8659-eb92-470e-b40f-1c994b2ac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1E70AE-EB0B-4F68-A638-5A1C5EBFFE4A}">
  <ds:schemaRefs>
    <ds:schemaRef ds:uri="http://schemas.microsoft.com/sharepoint/v3/contenttype/forms"/>
  </ds:schemaRefs>
</ds:datastoreItem>
</file>

<file path=customXml/itemProps3.xml><?xml version="1.0" encoding="utf-8"?>
<ds:datastoreItem xmlns:ds="http://schemas.openxmlformats.org/officeDocument/2006/customXml" ds:itemID="{6DD11E26-6DD7-4366-8A62-4AC4DDB59CEA}">
  <ds:schemaRefs>
    <ds:schemaRef ds:uri="http://schemas.microsoft.com/office/2006/documentManagement/types"/>
    <ds:schemaRef ds:uri="http://schemas.microsoft.com/office/2006/metadata/properties"/>
    <ds:schemaRef ds:uri="552b8659-eb92-470e-b40f-1c994b2ac523"/>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876372d7-2542-4065-ad3b-22612840f7b4"/>
    <ds:schemaRef ds:uri="http://purl.org/dc/terms/"/>
  </ds:schemaRefs>
</ds:datastoreItem>
</file>

<file path=customXml/itemProps4.xml><?xml version="1.0" encoding="utf-8"?>
<ds:datastoreItem xmlns:ds="http://schemas.openxmlformats.org/officeDocument/2006/customXml" ds:itemID="{302031DD-0231-4048-B1DF-4F1B3E0E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2924</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Funke Aderonmu</dc:creator>
  <cp:keywords/>
  <dc:description/>
  <cp:lastModifiedBy>Mackenzie Aime</cp:lastModifiedBy>
  <cp:revision>2</cp:revision>
  <cp:lastPrinted>2019-06-04T14:26:00Z</cp:lastPrinted>
  <dcterms:created xsi:type="dcterms:W3CDTF">2019-06-04T14:27:00Z</dcterms:created>
  <dcterms:modified xsi:type="dcterms:W3CDTF">2019-06-04T14:27:00Z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0x0101003D0AB9154C171E409E0131327301D05C</vt:lpwstr>
  </property>
  <property fmtid="{D5CDD505-2E9C-101B-9397-08002B2CF9AE}" pid="3" name="ComplianceAssetId">
    <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