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85D57" w14:textId="77777777" w:rsidR="00D5032E" w:rsidRPr="00F819AD" w:rsidRDefault="00F120BA">
      <w:pPr>
        <w:spacing w:after="200"/>
        <w:jc w:val="center"/>
        <w:rPr>
          <w:rFonts w:ascii="Lato Regular,Arial" w:eastAsia="Lato Regular,Arial" w:hAnsi="Lato Regular,Arial" w:cs="Lato Regular,Arial"/>
          <w:color w:val="C00000"/>
          <w:sz w:val="40"/>
          <w:szCs w:val="40"/>
        </w:rPr>
      </w:pPr>
      <w:bookmarkStart w:id="0" w:name="_GoBack"/>
      <w:bookmarkEnd w:id="0"/>
      <w:r w:rsidRPr="00F819AD">
        <w:rPr>
          <w:rFonts w:ascii="Lato Regular" w:eastAsia="Lato Regular" w:hAnsi="Lato Regular" w:cs="Lato Regular"/>
          <w:color w:val="C00000"/>
          <w:sz w:val="40"/>
          <w:szCs w:val="40"/>
        </w:rPr>
        <w:t>2018 IC US Poverty Background Packet: Housing and Racial Wealth Inequality</w:t>
      </w:r>
    </w:p>
    <w:p w14:paraId="374FBDCE" w14:textId="70C999E4" w:rsidR="003C2A19" w:rsidRPr="00F6022F" w:rsidRDefault="008A697D" w:rsidP="00F6022F">
      <w:pPr>
        <w:pStyle w:val="Heading1"/>
        <w:spacing w:before="0"/>
        <w:rPr>
          <w:rFonts w:ascii="Helvetica" w:eastAsia="Helvetica" w:hAnsi="Helvetica" w:cs="Helvetica"/>
          <w:b/>
          <w:bCs/>
          <w:color w:val="C00000"/>
          <w:sz w:val="48"/>
          <w:szCs w:val="48"/>
        </w:rPr>
      </w:pPr>
      <w:r w:rsidRPr="00F6022F">
        <w:rPr>
          <w:rFonts w:ascii="Helvetica" w:eastAsia="Helvetica" w:hAnsi="Helvetica" w:cs="Helvetica"/>
          <w:b/>
          <w:bCs/>
          <w:color w:val="C00000"/>
          <w:sz w:val="48"/>
          <w:szCs w:val="48"/>
        </w:rPr>
        <w:t xml:space="preserve">Overview: </w:t>
      </w:r>
      <w:r w:rsidR="003C2A19" w:rsidRPr="00F6022F">
        <w:rPr>
          <w:rFonts w:ascii="Helvetica" w:eastAsia="Helvetica" w:hAnsi="Helvetica" w:cs="Helvetica"/>
          <w:b/>
          <w:bCs/>
          <w:color w:val="C00000"/>
          <w:sz w:val="48"/>
          <w:szCs w:val="48"/>
        </w:rPr>
        <w:t>Housing and Racial Wealth Inequality</w:t>
      </w:r>
    </w:p>
    <w:p w14:paraId="09314CB3" w14:textId="77777777" w:rsidR="003C2A19" w:rsidRPr="00B21E02" w:rsidRDefault="003C2A19" w:rsidP="004B58AF">
      <w:pPr>
        <w:spacing w:after="120" w:line="23" w:lineRule="atLeast"/>
        <w:rPr>
          <w:rFonts w:ascii="Arial" w:hAnsi="Arial" w:cs="Arial"/>
        </w:rPr>
      </w:pPr>
      <w:r w:rsidRPr="00B21E02">
        <w:rPr>
          <w:rFonts w:ascii="Arial" w:hAnsi="Arial" w:cs="Arial"/>
          <w:noProof/>
        </w:rPr>
        <mc:AlternateContent>
          <mc:Choice Requires="wps">
            <w:drawing>
              <wp:anchor distT="0" distB="0" distL="114300" distR="114300" simplePos="0" relativeHeight="251673600" behindDoc="0" locked="0" layoutInCell="1" allowOverlap="1" wp14:anchorId="43581FBB" wp14:editId="26C62552">
                <wp:simplePos x="0" y="0"/>
                <wp:positionH relativeFrom="column">
                  <wp:posOffset>-8890</wp:posOffset>
                </wp:positionH>
                <wp:positionV relativeFrom="paragraph">
                  <wp:posOffset>86995</wp:posOffset>
                </wp:positionV>
                <wp:extent cx="5153660" cy="1270"/>
                <wp:effectExtent l="0" t="0" r="28575" b="19050"/>
                <wp:wrapNone/>
                <wp:docPr id="12" name="Straight Connector 1960365568"/>
                <wp:cNvGraphicFramePr/>
                <a:graphic xmlns:a="http://schemas.openxmlformats.org/drawingml/2006/main">
                  <a:graphicData uri="http://schemas.microsoft.com/office/word/2010/wordprocessingShape">
                    <wps:wsp>
                      <wps:cNvCnPr/>
                      <wps:spPr>
                        <a:xfrm>
                          <a:off x="0" y="0"/>
                          <a:ext cx="5153040" cy="0"/>
                        </a:xfrm>
                        <a:prstGeom prst="line">
                          <a:avLst/>
                        </a:prstGeom>
                        <a:ln>
                          <a:solidFill>
                            <a:srgbClr val="C00000"/>
                          </a:solidFill>
                        </a:ln>
                      </wps:spPr>
                      <wps:style>
                        <a:lnRef idx="3">
                          <a:schemeClr val="dk1"/>
                        </a:lnRef>
                        <a:fillRef idx="0">
                          <a:schemeClr val="dk1"/>
                        </a:fillRef>
                        <a:effectRef idx="2">
                          <a:schemeClr val="dk1"/>
                        </a:effectRef>
                        <a:fontRef idx="minor"/>
                      </wps:style>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v:line id="Straight Connector 1960365568"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00000" strokeweight="1.5pt" from="-.7pt,6.85pt" to="405.1pt,6.95pt" w14:anchorId="63F09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">
                <v:stroke joinstyle="miter"/>
              </v:line>
            </w:pict>
          </mc:Fallback>
        </mc:AlternateContent>
      </w:r>
    </w:p>
    <w:p w14:paraId="2845DEF1" w14:textId="439280AC" w:rsidR="003C2A19" w:rsidRPr="00B21E02" w:rsidRDefault="003C2A19" w:rsidP="00F819AD">
      <w:pPr>
        <w:pStyle w:val="Heading1"/>
        <w:spacing w:before="0" w:after="120"/>
      </w:pPr>
      <w:r w:rsidRPr="00F819AD">
        <w:rPr>
          <w:rFonts w:ascii="Arial" w:eastAsia="Arial" w:hAnsi="Arial" w:cs="Arial"/>
          <w:b/>
          <w:color w:val="C00000"/>
          <w:sz w:val="36"/>
          <w:szCs w:val="36"/>
        </w:rPr>
        <w:t xml:space="preserve">Understanding Wealth </w:t>
      </w:r>
    </w:p>
    <w:p w14:paraId="27232623" w14:textId="338545E8" w:rsidR="0009178F" w:rsidRDefault="00903F8E" w:rsidP="00F819AD">
      <w:pPr>
        <w:pStyle w:val="paragraph"/>
        <w:spacing w:after="120" w:line="276" w:lineRule="auto"/>
        <w:textAlignment w:val="baseline"/>
        <w:rPr>
          <w:rFonts w:ascii="Helvetica" w:eastAsia="Helvetica" w:hAnsi="Helvetica" w:cs="Helvetica"/>
          <w:sz w:val="22"/>
          <w:szCs w:val="22"/>
        </w:rPr>
      </w:pPr>
      <w:r w:rsidRPr="00F819AD">
        <w:rPr>
          <w:rFonts w:ascii="Helvetica" w:eastAsia="Helvetica" w:hAnsi="Helvetica" w:cs="Helvetica"/>
          <w:sz w:val="22"/>
          <w:szCs w:val="22"/>
        </w:rPr>
        <w:t xml:space="preserve">For several years, </w:t>
      </w:r>
      <w:r w:rsidR="004568A6" w:rsidRPr="00F819AD">
        <w:rPr>
          <w:rFonts w:ascii="Helvetica" w:eastAsia="Helvetica" w:hAnsi="Helvetica" w:cs="Helvetica"/>
          <w:sz w:val="22"/>
          <w:szCs w:val="22"/>
        </w:rPr>
        <w:t xml:space="preserve">RESULTS </w:t>
      </w:r>
      <w:r w:rsidRPr="00F819AD">
        <w:rPr>
          <w:rFonts w:ascii="Helvetica" w:eastAsia="Helvetica" w:hAnsi="Helvetica" w:cs="Helvetica"/>
          <w:sz w:val="22"/>
          <w:szCs w:val="22"/>
        </w:rPr>
        <w:t xml:space="preserve">advocates have educated themselves about the importance of policies that address immediate needs and those that </w:t>
      </w:r>
      <w:r w:rsidR="004568A6" w:rsidRPr="00F819AD">
        <w:rPr>
          <w:rFonts w:ascii="Helvetica" w:eastAsia="Helvetica" w:hAnsi="Helvetica" w:cs="Helvetica"/>
          <w:sz w:val="22"/>
          <w:szCs w:val="22"/>
        </w:rPr>
        <w:t xml:space="preserve">help families plan, save, and invest in their future. Savings are an essential part of creating economic security. They are necessary for emergencies, such as unexpected illness or job loss. They are also fundamental for making important investments like education, a home, or a car. However, wealth is not only represented by a savings account. Wealth is the value of </w:t>
      </w:r>
      <w:r w:rsidR="00C740EA" w:rsidRPr="00F819AD">
        <w:rPr>
          <w:rFonts w:ascii="Helvetica" w:eastAsia="Helvetica" w:hAnsi="Helvetica" w:cs="Helvetica"/>
          <w:sz w:val="22"/>
          <w:szCs w:val="22"/>
        </w:rPr>
        <w:t>all</w:t>
      </w:r>
      <w:r w:rsidR="004568A6" w:rsidRPr="00F819AD">
        <w:rPr>
          <w:rFonts w:ascii="Helvetica" w:eastAsia="Helvetica" w:hAnsi="Helvetica" w:cs="Helvetica"/>
          <w:sz w:val="22"/>
          <w:szCs w:val="22"/>
        </w:rPr>
        <w:t xml:space="preserve"> your assets, which include your home, car, and retirement account, minus your debts, such as student loans, credit card debt, and mortgage.</w:t>
      </w:r>
    </w:p>
    <w:p w14:paraId="739DC18E" w14:textId="644C9AAB" w:rsidR="008A2FA3" w:rsidRPr="00F6022F" w:rsidRDefault="0009178F" w:rsidP="00F819AD">
      <w:pPr>
        <w:pStyle w:val="paragraph"/>
        <w:spacing w:after="120" w:line="276" w:lineRule="auto"/>
        <w:textAlignment w:val="baseline"/>
        <w:rPr>
          <w:rFonts w:ascii="Helvetica" w:hAnsi="Helvetica" w:cs="Helvetica"/>
          <w:sz w:val="22"/>
          <w:szCs w:val="22"/>
        </w:rPr>
      </w:pPr>
      <w:r>
        <w:rPr>
          <w:rFonts w:ascii="Helvetica" w:eastAsia="Helvetica" w:hAnsi="Helvetica" w:cs="Helvetica"/>
          <w:sz w:val="22"/>
          <w:szCs w:val="22"/>
        </w:rPr>
        <w:t>We</w:t>
      </w:r>
      <w:r w:rsidR="00925073" w:rsidRPr="00F819AD">
        <w:rPr>
          <w:rFonts w:ascii="Helvetica" w:eastAsia="Helvetica" w:hAnsi="Helvetica" w:cs="Helvetica"/>
        </w:rPr>
        <w:t>alth is the foundation of economic wellbeing</w:t>
      </w:r>
      <w:r w:rsidR="003B72C2" w:rsidRPr="00F819AD">
        <w:rPr>
          <w:rFonts w:ascii="Helvetica" w:eastAsia="Helvetica" w:hAnsi="Helvetica" w:cs="Helvetica"/>
        </w:rPr>
        <w:t xml:space="preserve"> for many Americans</w:t>
      </w:r>
      <w:r w:rsidR="00925073" w:rsidRPr="00F819AD">
        <w:rPr>
          <w:rFonts w:ascii="Helvetica" w:eastAsia="Helvetica" w:hAnsi="Helvetica" w:cs="Helvetica"/>
        </w:rPr>
        <w:t xml:space="preserve">. In the US, </w:t>
      </w:r>
      <w:r w:rsidR="00BC3EB7" w:rsidRPr="00F819AD">
        <w:rPr>
          <w:rFonts w:ascii="Helvetica" w:eastAsia="Helvetica" w:hAnsi="Helvetica" w:cs="Helvetica"/>
        </w:rPr>
        <w:t xml:space="preserve">wealth </w:t>
      </w:r>
      <w:r w:rsidR="003B72C2" w:rsidRPr="00F819AD">
        <w:rPr>
          <w:rFonts w:ascii="Helvetica" w:eastAsia="Helvetica" w:hAnsi="Helvetica" w:cs="Helvetica"/>
        </w:rPr>
        <w:t>is a</w:t>
      </w:r>
      <w:r w:rsidR="00BC3EB7" w:rsidRPr="00F819AD">
        <w:rPr>
          <w:rFonts w:ascii="Helvetica" w:eastAsia="Helvetica" w:hAnsi="Helvetica" w:cs="Helvetica"/>
        </w:rPr>
        <w:t xml:space="preserve"> key determinant</w:t>
      </w:r>
      <w:r w:rsidR="003C2A19" w:rsidRPr="00F819AD">
        <w:rPr>
          <w:rStyle w:val="FootnoteReference"/>
          <w:rFonts w:ascii="Helvetica" w:eastAsia="Helvetica" w:hAnsi="Helvetica" w:cs="Helvetica"/>
          <w:color w:val="0563C1" w:themeColor="hyperlink"/>
          <w:u w:val="single"/>
        </w:rPr>
        <w:footnoteReference w:id="2"/>
      </w:r>
      <w:r w:rsidR="00BC3EB7" w:rsidRPr="00F819AD">
        <w:rPr>
          <w:rFonts w:ascii="Helvetica" w:eastAsia="Helvetica" w:hAnsi="Helvetica" w:cs="Helvetica"/>
        </w:rPr>
        <w:t xml:space="preserve"> of whether you attend and graduate from college, the </w:t>
      </w:r>
      <w:r w:rsidR="00E82101" w:rsidRPr="00F819AD">
        <w:rPr>
          <w:rFonts w:ascii="Helvetica" w:eastAsia="Helvetica" w:hAnsi="Helvetica" w:cs="Helvetica"/>
        </w:rPr>
        <w:t>k</w:t>
      </w:r>
      <w:r w:rsidR="003C2A19" w:rsidRPr="00F819AD">
        <w:rPr>
          <w:rFonts w:ascii="Helvetica" w:eastAsia="Helvetica" w:hAnsi="Helvetica" w:cs="Helvetica"/>
        </w:rPr>
        <w:t>ind of neighborhood you live in</w:t>
      </w:r>
      <w:r w:rsidR="00903F8E" w:rsidRPr="00F819AD">
        <w:rPr>
          <w:rFonts w:ascii="Helvetica" w:eastAsia="Helvetica" w:hAnsi="Helvetica" w:cs="Helvetica"/>
        </w:rPr>
        <w:t>,</w:t>
      </w:r>
      <w:r w:rsidR="003C2A19" w:rsidRPr="00F819AD">
        <w:rPr>
          <w:rFonts w:ascii="Helvetica" w:eastAsia="Helvetica" w:hAnsi="Helvetica" w:cs="Helvetica"/>
        </w:rPr>
        <w:t xml:space="preserve"> and</w:t>
      </w:r>
      <w:r w:rsidR="00E82101" w:rsidRPr="00F819AD">
        <w:rPr>
          <w:rFonts w:ascii="Helvetica" w:eastAsia="Helvetica" w:hAnsi="Helvetica" w:cs="Helvetica"/>
        </w:rPr>
        <w:t xml:space="preserve"> the quality of the schools your child attends</w:t>
      </w:r>
      <w:r w:rsidR="00903F8E" w:rsidRPr="00F819AD">
        <w:rPr>
          <w:rFonts w:ascii="Helvetica" w:eastAsia="Helvetica" w:hAnsi="Helvetica" w:cs="Helvetica"/>
        </w:rPr>
        <w:t>,</w:t>
      </w:r>
      <w:r w:rsidR="003C2A19" w:rsidRPr="00F819AD">
        <w:rPr>
          <w:rFonts w:ascii="Helvetica" w:eastAsia="Helvetica" w:hAnsi="Helvetica" w:cs="Helvetica"/>
        </w:rPr>
        <w:t xml:space="preserve"> among other things</w:t>
      </w:r>
      <w:r w:rsidR="003B72C2" w:rsidRPr="00F819AD">
        <w:rPr>
          <w:rFonts w:ascii="Helvetica" w:eastAsia="Helvetica" w:hAnsi="Helvetica" w:cs="Helvetica"/>
        </w:rPr>
        <w:t xml:space="preserve">. Wealth can also affect the kind of job you have and how likely you are to own a home. </w:t>
      </w:r>
    </w:p>
    <w:p w14:paraId="2B735EC1" w14:textId="6528E94F" w:rsidR="000549FF" w:rsidRDefault="004568A6" w:rsidP="00F819AD">
      <w:pPr>
        <w:pStyle w:val="paragraph"/>
        <w:spacing w:after="120" w:line="276" w:lineRule="auto"/>
        <w:textAlignment w:val="baseline"/>
        <w:rPr>
          <w:rFonts w:ascii="Helvetica" w:eastAsia="Arial" w:hAnsi="Helvetica" w:cs="Helvetica"/>
          <w:sz w:val="22"/>
          <w:szCs w:val="22"/>
        </w:rPr>
      </w:pPr>
      <w:r w:rsidRPr="00F819AD">
        <w:rPr>
          <w:rFonts w:ascii="Helvetica" w:eastAsia="Helvetica" w:hAnsi="Helvetica" w:cs="Helvetica"/>
        </w:rPr>
        <w:t>People</w:t>
      </w:r>
      <w:r w:rsidR="008A2FA3" w:rsidRPr="00F819AD">
        <w:rPr>
          <w:rFonts w:ascii="Helvetica" w:eastAsia="Helvetica" w:hAnsi="Helvetica" w:cs="Helvetica"/>
        </w:rPr>
        <w:t xml:space="preserve"> experiencing poverty are less likely to have wealth than individuals </w:t>
      </w:r>
      <w:r w:rsidR="0009178F">
        <w:rPr>
          <w:rFonts w:ascii="Helvetica" w:eastAsia="Helvetica" w:hAnsi="Helvetica" w:cs="Helvetica"/>
          <w:sz w:val="22"/>
          <w:szCs w:val="22"/>
        </w:rPr>
        <w:t>in</w:t>
      </w:r>
      <w:r w:rsidR="008A2FA3" w:rsidRPr="00F819AD">
        <w:rPr>
          <w:rFonts w:ascii="Helvetica" w:eastAsia="Helvetica" w:hAnsi="Helvetica" w:cs="Helvetica"/>
        </w:rPr>
        <w:t xml:space="preserve"> </w:t>
      </w:r>
      <w:r w:rsidR="00903F8E" w:rsidRPr="00F819AD">
        <w:rPr>
          <w:rFonts w:ascii="Helvetica" w:eastAsia="Helvetica" w:hAnsi="Helvetica" w:cs="Helvetica"/>
        </w:rPr>
        <w:t xml:space="preserve">other </w:t>
      </w:r>
      <w:r w:rsidR="008A2FA3" w:rsidRPr="00F819AD">
        <w:rPr>
          <w:rFonts w:ascii="Helvetica" w:eastAsia="Helvetica" w:hAnsi="Helvetica" w:cs="Helvetica"/>
        </w:rPr>
        <w:t xml:space="preserve">income brackets. Many Americans experience what is called </w:t>
      </w:r>
      <w:r w:rsidR="0009178F">
        <w:rPr>
          <w:rFonts w:ascii="Helvetica" w:eastAsia="Helvetica" w:hAnsi="Helvetica" w:cs="Helvetica"/>
          <w:sz w:val="22"/>
          <w:szCs w:val="22"/>
        </w:rPr>
        <w:t>“</w:t>
      </w:r>
      <w:r w:rsidR="008A2FA3" w:rsidRPr="00F819AD">
        <w:rPr>
          <w:rFonts w:ascii="Helvetica" w:eastAsia="Helvetica" w:hAnsi="Helvetica" w:cs="Helvetica"/>
        </w:rPr>
        <w:t>asset poverty</w:t>
      </w:r>
      <w:r w:rsidR="0009178F">
        <w:rPr>
          <w:rFonts w:ascii="Helvetica" w:eastAsia="Helvetica" w:hAnsi="Helvetica" w:cs="Helvetica"/>
          <w:sz w:val="22"/>
          <w:szCs w:val="22"/>
        </w:rPr>
        <w:t>”</w:t>
      </w:r>
      <w:r w:rsidR="008A2FA3" w:rsidRPr="00F819AD">
        <w:rPr>
          <w:rFonts w:ascii="Helvetica" w:eastAsia="Helvetica" w:hAnsi="Helvetica" w:cs="Helvetica"/>
        </w:rPr>
        <w:t>.</w:t>
      </w:r>
      <w:r w:rsidR="003C2A19" w:rsidRPr="00F819AD">
        <w:rPr>
          <w:rStyle w:val="FootnoteReference"/>
          <w:rFonts w:ascii="Helvetica,Arial" w:eastAsia="Helvetica,Arial" w:hAnsi="Helvetica,Arial" w:cs="Helvetica,Arial"/>
        </w:rPr>
        <w:footnoteReference w:id="3"/>
      </w:r>
      <w:r w:rsidR="008A2FA3" w:rsidRPr="00F819AD">
        <w:rPr>
          <w:rFonts w:ascii="Helvetica" w:eastAsia="Helvetica" w:hAnsi="Helvetica" w:cs="Helvetica"/>
        </w:rPr>
        <w:t xml:space="preserve"> Individuals and families are considered asset poor when they do not have enough assets to live at the poverty line for more than three months if they were to lose their source of income</w:t>
      </w:r>
      <w:r w:rsidR="00BD69E4" w:rsidRPr="00F819AD">
        <w:rPr>
          <w:rFonts w:ascii="Helvetica,Arial" w:eastAsia="Helvetica,Arial" w:hAnsi="Helvetica,Arial" w:cs="Helvetica,Arial"/>
        </w:rPr>
        <w:t>.</w:t>
      </w:r>
      <w:r w:rsidR="008A2FA3" w:rsidRPr="00F819AD">
        <w:rPr>
          <w:rFonts w:ascii="Helvetica" w:eastAsia="Helvetica" w:hAnsi="Helvetica" w:cs="Helvetica"/>
        </w:rPr>
        <w:t xml:space="preserve"> Currently </w:t>
      </w:r>
      <w:hyperlink r:id="rId11" w:anchor="finance/outcome/asset-poverty-rate" w:history="1">
        <w:r w:rsidR="008A2FA3" w:rsidRPr="00F819AD">
          <w:rPr>
            <w:rStyle w:val="Hyperlink"/>
            <w:rFonts w:ascii="Helvetica" w:eastAsia="Helvetica" w:hAnsi="Helvetica" w:cs="Helvetica"/>
          </w:rPr>
          <w:t>1 in 4 – 2</w:t>
        </w:r>
        <w:r w:rsidR="002C0F3E" w:rsidRPr="00F819AD">
          <w:rPr>
            <w:rStyle w:val="Hyperlink"/>
            <w:rFonts w:ascii="Helvetica" w:eastAsia="Helvetica" w:hAnsi="Helvetica" w:cs="Helvetica"/>
          </w:rPr>
          <w:t>5.5</w:t>
        </w:r>
        <w:r w:rsidR="003C2A19" w:rsidRPr="00F819AD">
          <w:rPr>
            <w:rStyle w:val="Hyperlink"/>
            <w:rFonts w:ascii="Helvetica" w:eastAsia="Helvetica" w:hAnsi="Helvetica" w:cs="Helvetica"/>
          </w:rPr>
          <w:t xml:space="preserve"> percent – of Americans are </w:t>
        </w:r>
        <w:r w:rsidR="008A2FA3" w:rsidRPr="00F819AD">
          <w:rPr>
            <w:rStyle w:val="Hyperlink"/>
            <w:rFonts w:ascii="Helvetica" w:eastAsia="Helvetica" w:hAnsi="Helvetica" w:cs="Helvetica"/>
          </w:rPr>
          <w:t>asset poor</w:t>
        </w:r>
      </w:hyperlink>
      <w:r w:rsidR="003C2A19" w:rsidRPr="00F819AD">
        <w:rPr>
          <w:rFonts w:ascii="Helvetica,Arial" w:eastAsia="Helvetica,Arial" w:hAnsi="Helvetica,Arial" w:cs="Helvetica,Arial"/>
        </w:rPr>
        <w:t>.</w:t>
      </w:r>
      <w:r w:rsidR="003C2A19" w:rsidRPr="00F819AD">
        <w:rPr>
          <w:rStyle w:val="FootnoteReference"/>
          <w:rFonts w:ascii="Helvetica,Arial" w:eastAsia="Helvetica,Arial" w:hAnsi="Helvetica,Arial" w:cs="Helvetica,Arial"/>
        </w:rPr>
        <w:footnoteReference w:id="4"/>
      </w:r>
      <w:r w:rsidR="008A2FA3" w:rsidRPr="00F819AD">
        <w:rPr>
          <w:rFonts w:ascii="Helvetica" w:eastAsia="Helvetica" w:hAnsi="Helvetica" w:cs="Helvetica"/>
        </w:rPr>
        <w:t xml:space="preserve"> This means that they are one financial crisis away from poverty. </w:t>
      </w:r>
    </w:p>
    <w:p w14:paraId="13837BC5" w14:textId="77777777" w:rsidR="000549FF" w:rsidRDefault="000549FF" w:rsidP="00F819AD">
      <w:pPr>
        <w:pStyle w:val="paragraph"/>
        <w:spacing w:after="120" w:line="276" w:lineRule="auto"/>
        <w:textAlignment w:val="baseline"/>
        <w:rPr>
          <w:rFonts w:ascii="Helvetica" w:eastAsia="Arial" w:hAnsi="Helvetica" w:cs="Helvetica"/>
          <w:sz w:val="22"/>
          <w:szCs w:val="22"/>
        </w:rPr>
      </w:pPr>
    </w:p>
    <w:p w14:paraId="6A04DBB7" w14:textId="77777777" w:rsidR="000549FF" w:rsidRDefault="000549FF" w:rsidP="00F819AD">
      <w:pPr>
        <w:pStyle w:val="paragraph"/>
        <w:spacing w:after="120" w:line="276" w:lineRule="auto"/>
        <w:textAlignment w:val="baseline"/>
        <w:rPr>
          <w:rFonts w:ascii="Helvetica" w:eastAsia="Arial" w:hAnsi="Helvetica" w:cs="Helvetica"/>
          <w:sz w:val="22"/>
          <w:szCs w:val="22"/>
        </w:rPr>
      </w:pPr>
    </w:p>
    <w:p w14:paraId="2C557430" w14:textId="77777777" w:rsidR="000549FF" w:rsidRDefault="000549FF" w:rsidP="00F819AD">
      <w:pPr>
        <w:pStyle w:val="paragraph"/>
        <w:spacing w:after="120" w:line="276" w:lineRule="auto"/>
        <w:textAlignment w:val="baseline"/>
        <w:rPr>
          <w:rFonts w:ascii="Helvetica" w:eastAsia="Arial" w:hAnsi="Helvetica" w:cs="Helvetica"/>
          <w:sz w:val="22"/>
          <w:szCs w:val="22"/>
        </w:rPr>
      </w:pPr>
    </w:p>
    <w:p w14:paraId="57A4832D" w14:textId="77777777" w:rsidR="000549FF" w:rsidRDefault="000549FF" w:rsidP="00F819AD">
      <w:pPr>
        <w:pStyle w:val="paragraph"/>
        <w:spacing w:after="120" w:line="276" w:lineRule="auto"/>
        <w:textAlignment w:val="baseline"/>
        <w:rPr>
          <w:rFonts w:ascii="Helvetica" w:eastAsia="Arial" w:hAnsi="Helvetica" w:cs="Helvetica"/>
          <w:sz w:val="22"/>
          <w:szCs w:val="22"/>
        </w:rPr>
      </w:pPr>
    </w:p>
    <w:p w14:paraId="54182138" w14:textId="287FE076" w:rsidR="000549FF" w:rsidRDefault="000549FF" w:rsidP="00F819AD">
      <w:pPr>
        <w:pStyle w:val="paragraph"/>
        <w:keepNext/>
        <w:spacing w:after="120" w:line="276" w:lineRule="auto"/>
        <w:jc w:val="center"/>
        <w:textAlignment w:val="baseline"/>
      </w:pPr>
      <w:r w:rsidRPr="00474CAE">
        <w:rPr>
          <w:rFonts w:ascii="Helvetica" w:hAnsi="Helvetica" w:cs="Helvetica"/>
          <w:noProof/>
          <w:color w:val="000000" w:themeColor="text1"/>
          <w:sz w:val="22"/>
          <w:szCs w:val="22"/>
        </w:rPr>
        <w:lastRenderedPageBreak/>
        <w:drawing>
          <wp:inline distT="0" distB="0" distL="0" distR="0" wp14:anchorId="3D89197C" wp14:editId="3B1ABA94">
            <wp:extent cx="5071045" cy="2705100"/>
            <wp:effectExtent l="57150" t="57150" r="111125" b="114300"/>
            <wp:docPr id="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stretch>
                      <a:fillRect/>
                    </a:stretch>
                  </pic:blipFill>
                  <pic:spPr>
                    <a:xfrm>
                      <a:off x="0" y="0"/>
                      <a:ext cx="5079150" cy="27094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FF63EE" w14:textId="45AF9D3B" w:rsidR="000549FF" w:rsidRPr="00F819AD" w:rsidRDefault="000549FF" w:rsidP="00F819AD">
      <w:pPr>
        <w:pStyle w:val="Caption"/>
        <w:spacing w:after="120"/>
        <w:jc w:val="center"/>
        <w:rPr>
          <w:rFonts w:ascii="Arial" w:eastAsia="Arial" w:hAnsi="Arial" w:cs="Arial"/>
          <w:sz w:val="22"/>
          <w:szCs w:val="22"/>
        </w:rPr>
      </w:pPr>
      <w:r w:rsidRPr="00F819AD">
        <w:rPr>
          <w:rFonts w:ascii="Arial" w:eastAsia="Arial" w:hAnsi="Arial" w:cs="Arial"/>
          <w:sz w:val="22"/>
          <w:szCs w:val="22"/>
        </w:rPr>
        <w:t xml:space="preserve">Figure </w:t>
      </w:r>
      <w:r w:rsidRPr="00F819AD">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005D00E3" w:rsidRPr="00F819AD">
        <w:rPr>
          <w:rFonts w:ascii="Arial" w:eastAsia="Arial" w:hAnsi="Arial" w:cs="Arial"/>
          <w:noProof/>
          <w:sz w:val="22"/>
          <w:szCs w:val="22"/>
        </w:rPr>
        <w:t>1</w:t>
      </w:r>
      <w:r w:rsidRPr="00F819AD">
        <w:fldChar w:fldCharType="end"/>
      </w:r>
      <w:r w:rsidR="0039015A" w:rsidRPr="00F819AD">
        <w:rPr>
          <w:rStyle w:val="FootnoteReference"/>
          <w:rFonts w:ascii="Arial" w:eastAsia="Arial" w:hAnsi="Arial" w:cs="Arial"/>
          <w:sz w:val="22"/>
          <w:szCs w:val="22"/>
        </w:rPr>
        <w:footnoteReference w:id="5"/>
      </w:r>
    </w:p>
    <w:p w14:paraId="7AAB6D55" w14:textId="77777777" w:rsidR="000549FF" w:rsidRDefault="000549FF" w:rsidP="00F819AD">
      <w:pPr>
        <w:pStyle w:val="paragraph"/>
        <w:spacing w:after="120" w:line="276" w:lineRule="auto"/>
        <w:textAlignment w:val="baseline"/>
        <w:rPr>
          <w:rFonts w:ascii="Helvetica" w:eastAsia="Arial" w:hAnsi="Helvetica" w:cs="Helvetica"/>
          <w:sz w:val="22"/>
          <w:szCs w:val="22"/>
        </w:rPr>
      </w:pPr>
    </w:p>
    <w:p w14:paraId="3B0E5C46" w14:textId="50511247" w:rsidR="000549FF" w:rsidRDefault="00F819AD" w:rsidP="00F819AD">
      <w:pPr>
        <w:pStyle w:val="paragraph"/>
        <w:spacing w:after="120" w:line="276" w:lineRule="auto"/>
        <w:textAlignment w:val="baseline"/>
        <w:rPr>
          <w:rFonts w:ascii="Helvetica" w:eastAsia="Arial" w:hAnsi="Helvetica" w:cs="Helvetica"/>
          <w:sz w:val="22"/>
          <w:szCs w:val="22"/>
        </w:rPr>
      </w:pPr>
      <w:r w:rsidRPr="00F819AD">
        <w:rPr>
          <w:rFonts w:ascii="Helvetica" w:hAnsi="Helvetica" w:cs="Helvetica"/>
          <w:noProof/>
          <w:sz w:val="22"/>
          <w:szCs w:val="22"/>
        </w:rPr>
        <w:drawing>
          <wp:anchor distT="0" distB="0" distL="114300" distR="114300" simplePos="0" relativeHeight="251698176" behindDoc="1" locked="0" layoutInCell="1" allowOverlap="1" wp14:anchorId="54067844" wp14:editId="7F81F55F">
            <wp:simplePos x="0" y="0"/>
            <wp:positionH relativeFrom="page">
              <wp:posOffset>3973195</wp:posOffset>
            </wp:positionH>
            <wp:positionV relativeFrom="paragraph">
              <wp:posOffset>160655</wp:posOffset>
            </wp:positionV>
            <wp:extent cx="3577590" cy="3276600"/>
            <wp:effectExtent l="57150" t="57150" r="118110" b="114300"/>
            <wp:wrapTight wrapText="bothSides">
              <wp:wrapPolygon edited="0">
                <wp:start x="-115" y="-377"/>
                <wp:lineTo x="-345" y="-251"/>
                <wp:lineTo x="-345" y="21726"/>
                <wp:lineTo x="-115" y="22228"/>
                <wp:lineTo x="21968" y="22228"/>
                <wp:lineTo x="22198" y="21851"/>
                <wp:lineTo x="22198" y="1758"/>
                <wp:lineTo x="21853" y="-126"/>
                <wp:lineTo x="21853" y="-377"/>
                <wp:lineTo x="-115" y="-37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77590" cy="3276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BCB9D35" w14:textId="4391ED80" w:rsidR="00C94B90" w:rsidRPr="00F6022F" w:rsidRDefault="008A2FA3" w:rsidP="00F819AD">
      <w:pPr>
        <w:pStyle w:val="paragraph"/>
        <w:spacing w:after="120" w:line="276" w:lineRule="auto"/>
        <w:textAlignment w:val="baseline"/>
        <w:rPr>
          <w:rFonts w:ascii="Helvetica" w:hAnsi="Helvetica" w:cs="Helvetica"/>
          <w:sz w:val="22"/>
          <w:szCs w:val="22"/>
        </w:rPr>
      </w:pPr>
      <w:r w:rsidRPr="00F819AD">
        <w:rPr>
          <w:rFonts w:ascii="Helvetica" w:eastAsia="Helvetica" w:hAnsi="Helvetica" w:cs="Helvetica"/>
          <w:sz w:val="22"/>
          <w:szCs w:val="22"/>
        </w:rPr>
        <w:t>Even more startling is the liquid asset poverty rate in America.</w:t>
      </w:r>
      <w:r w:rsidR="003C2A19" w:rsidRPr="00F819AD">
        <w:rPr>
          <w:rStyle w:val="FootnoteReference"/>
          <w:rFonts w:ascii="Helvetica,Arial" w:eastAsia="Helvetica,Arial" w:hAnsi="Helvetica,Arial" w:cs="Helvetica,Arial"/>
          <w:sz w:val="22"/>
          <w:szCs w:val="22"/>
        </w:rPr>
        <w:footnoteReference w:id="6"/>
      </w:r>
      <w:r w:rsidRPr="00F819AD">
        <w:rPr>
          <w:rFonts w:ascii="Helvetica" w:eastAsia="Helvetica" w:hAnsi="Helvetica" w:cs="Helvetica"/>
          <w:sz w:val="22"/>
          <w:szCs w:val="22"/>
        </w:rPr>
        <w:t xml:space="preserve"> It uses the same criteria as asset poverty, but only takes into account those assets that are cash or could be converted (i.e. liquidated) quickly. This would include cash, savings and checking accounts, stocks, etc. but would exclude real estate, vehicles, and businesses. </w:t>
      </w:r>
      <w:r w:rsidR="00B95066">
        <w:rPr>
          <w:rFonts w:ascii="Helvetica" w:eastAsia="Helvetica" w:hAnsi="Helvetica" w:cs="Helvetica"/>
          <w:sz w:val="22"/>
          <w:szCs w:val="22"/>
        </w:rPr>
        <w:t>In 2018 t</w:t>
      </w:r>
      <w:r w:rsidRPr="00F819AD">
        <w:rPr>
          <w:rFonts w:ascii="Helvetica" w:eastAsia="Helvetica" w:hAnsi="Helvetica" w:cs="Helvetica"/>
          <w:sz w:val="22"/>
          <w:szCs w:val="22"/>
        </w:rPr>
        <w:t xml:space="preserve">he liquid asset poverty rate in the United States is </w:t>
      </w:r>
      <w:hyperlink r:id="rId14" w:history="1">
        <w:r w:rsidR="0008600D" w:rsidRPr="00F819AD">
          <w:rPr>
            <w:rStyle w:val="Hyperlink"/>
            <w:rFonts w:ascii="Helvetica" w:eastAsia="Helvetica" w:hAnsi="Helvetica" w:cs="Helvetica"/>
            <w:sz w:val="22"/>
            <w:szCs w:val="22"/>
          </w:rPr>
          <w:t>36.8</w:t>
        </w:r>
        <w:r w:rsidRPr="00F819AD">
          <w:rPr>
            <w:rStyle w:val="Hyperlink"/>
            <w:rFonts w:ascii="Helvetica" w:eastAsia="Helvetica" w:hAnsi="Helvetica" w:cs="Helvetica"/>
            <w:sz w:val="22"/>
            <w:szCs w:val="22"/>
          </w:rPr>
          <w:t xml:space="preserve"> percent</w:t>
        </w:r>
      </w:hyperlink>
      <w:r w:rsidRPr="00F819AD">
        <w:rPr>
          <w:rFonts w:ascii="Helvetica,Arial" w:eastAsia="Helvetica,Arial" w:hAnsi="Helvetica,Arial" w:cs="Helvetica,Arial"/>
          <w:sz w:val="22"/>
          <w:szCs w:val="22"/>
        </w:rPr>
        <w:t>.</w:t>
      </w:r>
      <w:r w:rsidR="003C2A19" w:rsidRPr="00F819AD">
        <w:rPr>
          <w:rStyle w:val="FootnoteReference"/>
          <w:rFonts w:ascii="Helvetica,Arial" w:eastAsia="Helvetica,Arial" w:hAnsi="Helvetica,Arial" w:cs="Helvetica,Arial"/>
          <w:sz w:val="22"/>
          <w:szCs w:val="22"/>
        </w:rPr>
        <w:footnoteReference w:id="7"/>
      </w:r>
    </w:p>
    <w:p w14:paraId="21C87782" w14:textId="00C53AAD" w:rsidR="00CF14B6" w:rsidRPr="00F819AD" w:rsidRDefault="0039015A" w:rsidP="00F819AD">
      <w:pPr>
        <w:pStyle w:val="paragraph"/>
        <w:keepNext/>
        <w:spacing w:after="120" w:line="276" w:lineRule="auto"/>
        <w:textAlignment w:val="baseline"/>
        <w:rPr>
          <w:rFonts w:ascii="Helvetica" w:eastAsia="Helvetica" w:hAnsi="Helvetica" w:cs="Helvetica"/>
          <w:sz w:val="22"/>
          <w:szCs w:val="22"/>
        </w:rPr>
      </w:pPr>
      <w:r>
        <w:rPr>
          <w:noProof/>
        </w:rPr>
        <mc:AlternateContent>
          <mc:Choice Requires="wps">
            <w:drawing>
              <wp:anchor distT="0" distB="0" distL="114300" distR="114300" simplePos="0" relativeHeight="251704320" behindDoc="1" locked="0" layoutInCell="1" allowOverlap="1" wp14:anchorId="2140F4BC" wp14:editId="7A77D8B1">
                <wp:simplePos x="0" y="0"/>
                <wp:positionH relativeFrom="column">
                  <wp:posOffset>3076575</wp:posOffset>
                </wp:positionH>
                <wp:positionV relativeFrom="paragraph">
                  <wp:posOffset>1372870</wp:posOffset>
                </wp:positionV>
                <wp:extent cx="3369945" cy="171450"/>
                <wp:effectExtent l="0" t="0" r="1905" b="0"/>
                <wp:wrapTight wrapText="bothSides">
                  <wp:wrapPolygon edited="0">
                    <wp:start x="0" y="0"/>
                    <wp:lineTo x="0" y="19200"/>
                    <wp:lineTo x="21490" y="19200"/>
                    <wp:lineTo x="2149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369945" cy="171450"/>
                        </a:xfrm>
                        <a:prstGeom prst="rect">
                          <a:avLst/>
                        </a:prstGeom>
                        <a:solidFill>
                          <a:prstClr val="white"/>
                        </a:solidFill>
                        <a:ln>
                          <a:noFill/>
                        </a:ln>
                      </wps:spPr>
                      <wps:txbx>
                        <w:txbxContent>
                          <w:p w14:paraId="7437F677" w14:textId="032A2179" w:rsidR="00601F98" w:rsidRPr="00F819AD" w:rsidRDefault="00601F98" w:rsidP="00F819AD">
                            <w:pPr>
                              <w:pStyle w:val="Caption"/>
                              <w:jc w:val="center"/>
                              <w:rPr>
                                <w:rFonts w:ascii="Arial" w:hAnsi="Arial" w:cs="Arial"/>
                                <w:noProof/>
                                <w:sz w:val="22"/>
                                <w:szCs w:val="22"/>
                                <w:vertAlign w:val="superscript"/>
                              </w:rPr>
                            </w:pPr>
                            <w:r w:rsidRPr="00F819AD">
                              <w:rPr>
                                <w:rFonts w:ascii="Arial" w:hAnsi="Arial" w:cs="Arial"/>
                                <w:sz w:val="22"/>
                                <w:szCs w:val="22"/>
                              </w:rPr>
                              <w:t xml:space="preserve">Figure </w:t>
                            </w:r>
                            <w:r w:rsidRPr="00F819AD">
                              <w:rPr>
                                <w:rFonts w:ascii="Arial" w:hAnsi="Arial" w:cs="Arial"/>
                                <w:sz w:val="22"/>
                                <w:szCs w:val="22"/>
                              </w:rPr>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Pr="00F819AD">
                              <w:rPr>
                                <w:rFonts w:ascii="Arial" w:hAnsi="Arial" w:cs="Arial"/>
                                <w:noProof/>
                                <w:sz w:val="22"/>
                                <w:szCs w:val="22"/>
                              </w:rPr>
                              <w:t>2</w:t>
                            </w:r>
                            <w:r w:rsidRPr="00F819AD">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(2018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40F4BC" id="_x0000_t202" coordsize="21600,21600" o:spt="202" path="m,l,21600r21600,l21600,xe">
                <v:stroke joinstyle="miter"/>
                <v:path gradientshapeok="t" o:connecttype="rect"/>
              </v:shapetype>
              <v:shape id="Text Box 31" o:spid="_x0000_s1026" type="#_x0000_t202" style="position:absolute;margin-left:242.25pt;margin-top:108.1pt;width:265.35pt;height:13.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" stroked="f">
                <v:textbox inset="0,0,0,0">
                  <w:txbxContent>
                    <w:p w14:paraId="7437F677" w14:textId="032A2179" w:rsidR="00601F98" w:rsidRPr="00F819AD" w:rsidRDefault="00601F98" w:rsidP="00F819AD">
                      <w:pPr>
                        <w:pStyle w:val="Caption"/>
                        <w:jc w:val="center"/>
                        <w:rPr>
                          <w:rFonts w:ascii="Arial" w:hAnsi="Arial" w:cs="Arial"/>
                          <w:noProof/>
                          <w:sz w:val="22"/>
                          <w:szCs w:val="22"/>
                          <w:vertAlign w:val="superscript"/>
                        </w:rPr>
                      </w:pPr>
                      <w:r w:rsidRPr="00F819AD">
                        <w:rPr>
                          <w:rFonts w:ascii="Arial" w:hAnsi="Arial" w:cs="Arial"/>
                          <w:sz w:val="22"/>
                          <w:szCs w:val="22"/>
                        </w:rPr>
                        <w:t xml:space="preserve">Figure </w:t>
                      </w:r>
                      <w:r w:rsidRPr="00F819AD">
                        <w:rPr>
                          <w:rFonts w:ascii="Arial" w:hAnsi="Arial" w:cs="Arial"/>
                          <w:sz w:val="22"/>
                          <w:szCs w:val="22"/>
                        </w:rPr>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Pr="00F819AD">
                        <w:rPr>
                          <w:rFonts w:ascii="Arial" w:hAnsi="Arial" w:cs="Arial"/>
                          <w:noProof/>
                          <w:sz w:val="22"/>
                          <w:szCs w:val="22"/>
                        </w:rPr>
                        <w:t>2</w:t>
                      </w:r>
                      <w:r w:rsidRPr="00F819AD">
                        <w:rPr>
                          <w:rFonts w:ascii="Arial" w:hAnsi="Arial" w:cs="Arial"/>
                          <w:sz w:val="22"/>
                          <w:szCs w:val="22"/>
                        </w:rPr>
                        <w:fldChar w:fldCharType="end"/>
                      </w:r>
                      <w:r>
                        <w:rPr>
                          <w:rFonts w:ascii="Arial" w:hAnsi="Arial" w:cs="Arial"/>
                          <w:sz w:val="22"/>
                          <w:szCs w:val="22"/>
                          <w:vertAlign w:val="superscript"/>
                        </w:rPr>
                        <w:t xml:space="preserve"> </w:t>
                      </w:r>
                      <w:r>
                        <w:rPr>
                          <w:rFonts w:ascii="Arial" w:hAnsi="Arial" w:cs="Arial"/>
                          <w:sz w:val="22"/>
                          <w:szCs w:val="22"/>
                        </w:rPr>
                        <w:t>(2018 statistics)</w:t>
                      </w:r>
                    </w:p>
                  </w:txbxContent>
                </v:textbox>
                <w10:wrap type="tight"/>
              </v:shape>
            </w:pict>
          </mc:Fallback>
        </mc:AlternateContent>
      </w:r>
      <w:r w:rsidR="00CF14B6" w:rsidRPr="00F819AD">
        <w:rPr>
          <w:rFonts w:ascii="Helvetica" w:eastAsia="Helvetica" w:hAnsi="Helvetica" w:cs="Helvetica"/>
          <w:sz w:val="22"/>
          <w:szCs w:val="22"/>
        </w:rPr>
        <w:t>So often, the conversation about inequality focuses on inc</w:t>
      </w:r>
      <w:r w:rsidR="000549FF" w:rsidRPr="00F819AD">
        <w:rPr>
          <w:rFonts w:ascii="Helvetica" w:eastAsia="Helvetica" w:hAnsi="Helvetica" w:cs="Helvetica"/>
          <w:sz w:val="22"/>
          <w:szCs w:val="22"/>
        </w:rPr>
        <w:t>o</w:t>
      </w:r>
      <w:r w:rsidR="00CF14B6" w:rsidRPr="00F819AD">
        <w:rPr>
          <w:rFonts w:ascii="Helvetica" w:eastAsia="Helvetica" w:hAnsi="Helvetica" w:cs="Helvetica"/>
          <w:sz w:val="22"/>
          <w:szCs w:val="22"/>
        </w:rPr>
        <w:t>me inequality, which understates the true nature of the gap between the have</w:t>
      </w:r>
      <w:r w:rsidR="00D253DA" w:rsidRPr="00F819AD">
        <w:rPr>
          <w:rFonts w:ascii="Helvetica" w:eastAsia="Helvetica" w:hAnsi="Helvetica" w:cs="Helvetica"/>
          <w:sz w:val="22"/>
          <w:szCs w:val="22"/>
        </w:rPr>
        <w:t>s</w:t>
      </w:r>
      <w:r w:rsidR="00CF14B6" w:rsidRPr="00F819AD">
        <w:rPr>
          <w:rFonts w:ascii="Helvetica" w:eastAsia="Helvetica" w:hAnsi="Helvetica" w:cs="Helvetica"/>
          <w:sz w:val="22"/>
          <w:szCs w:val="22"/>
        </w:rPr>
        <w:t xml:space="preserve"> and have-nots in society. The United States has the most wealth inequality of any developed nation, with</w:t>
      </w:r>
      <w:r w:rsidR="00AE53AF" w:rsidRPr="00F819AD">
        <w:rPr>
          <w:rFonts w:ascii="Helvetica" w:eastAsia="Helvetica" w:hAnsi="Helvetica" w:cs="Helvetica"/>
          <w:sz w:val="22"/>
          <w:szCs w:val="22"/>
        </w:rPr>
        <w:t xml:space="preserve"> </w:t>
      </w:r>
      <w:hyperlink r:id="rId15" w:history="1">
        <w:r w:rsidR="00FC1143" w:rsidRPr="00F819AD">
          <w:rPr>
            <w:rStyle w:val="Hyperlink"/>
            <w:rFonts w:ascii="Helvetica" w:eastAsia="Helvetica" w:hAnsi="Helvetica" w:cs="Helvetica"/>
            <w:sz w:val="22"/>
            <w:szCs w:val="22"/>
          </w:rPr>
          <w:t xml:space="preserve">75 </w:t>
        </w:r>
        <w:r w:rsidR="00CF14B6" w:rsidRPr="00F819AD">
          <w:rPr>
            <w:rStyle w:val="Hyperlink"/>
            <w:rFonts w:ascii="Helvetica" w:eastAsia="Helvetica" w:hAnsi="Helvetica" w:cs="Helvetica"/>
            <w:sz w:val="22"/>
            <w:szCs w:val="22"/>
          </w:rPr>
          <w:t xml:space="preserve">percent of the wealth owned by </w:t>
        </w:r>
        <w:r w:rsidR="00FC1143" w:rsidRPr="00F819AD">
          <w:rPr>
            <w:rStyle w:val="Hyperlink"/>
            <w:rFonts w:ascii="Helvetica" w:eastAsia="Helvetica" w:hAnsi="Helvetica" w:cs="Helvetica"/>
            <w:sz w:val="22"/>
            <w:szCs w:val="22"/>
          </w:rPr>
          <w:t>1</w:t>
        </w:r>
        <w:r w:rsidR="00CF14B6" w:rsidRPr="00F819AD">
          <w:rPr>
            <w:rStyle w:val="Hyperlink"/>
            <w:rFonts w:ascii="Helvetica" w:eastAsia="Helvetica" w:hAnsi="Helvetica" w:cs="Helvetica"/>
            <w:sz w:val="22"/>
            <w:szCs w:val="22"/>
          </w:rPr>
          <w:t>0 percent of the people</w:t>
        </w:r>
      </w:hyperlink>
      <w:r w:rsidR="003C2A19" w:rsidRPr="00F819AD">
        <w:rPr>
          <w:rFonts w:ascii="Helvetica" w:eastAsia="Helvetica" w:hAnsi="Helvetica" w:cs="Helvetica"/>
          <w:sz w:val="22"/>
          <w:szCs w:val="22"/>
        </w:rPr>
        <w:t xml:space="preserve"> (see Figure </w:t>
      </w:r>
      <w:r w:rsidR="008900A0" w:rsidRPr="00F819AD">
        <w:rPr>
          <w:rFonts w:ascii="Helvetica" w:eastAsia="Helvetica" w:hAnsi="Helvetica" w:cs="Helvetica"/>
          <w:sz w:val="22"/>
          <w:szCs w:val="22"/>
        </w:rPr>
        <w:t>3</w:t>
      </w:r>
      <w:r w:rsidR="003C2A19" w:rsidRPr="00F819AD">
        <w:rPr>
          <w:rFonts w:ascii="Helvetica" w:eastAsia="Helvetica" w:hAnsi="Helvetica" w:cs="Helvetica"/>
          <w:sz w:val="22"/>
          <w:szCs w:val="22"/>
        </w:rPr>
        <w:t xml:space="preserve">). </w:t>
      </w:r>
      <w:r w:rsidR="00CF14B6" w:rsidRPr="00F819AD">
        <w:rPr>
          <w:rFonts w:ascii="Helvetica" w:eastAsia="Helvetica" w:hAnsi="Helvetica" w:cs="Helvetica"/>
          <w:sz w:val="22"/>
          <w:szCs w:val="22"/>
        </w:rPr>
        <w:t xml:space="preserve">Moreover, </w:t>
      </w:r>
      <w:hyperlink r:id="rId16" w:history="1">
        <w:r w:rsidR="00CF14B6" w:rsidRPr="00F819AD">
          <w:rPr>
            <w:rStyle w:val="Hyperlink"/>
            <w:rFonts w:ascii="Helvetica" w:eastAsia="Helvetica" w:hAnsi="Helvetica" w:cs="Helvetica"/>
            <w:sz w:val="22"/>
            <w:szCs w:val="22"/>
          </w:rPr>
          <w:t xml:space="preserve">wealth </w:t>
        </w:r>
        <w:r w:rsidR="00CF14B6" w:rsidRPr="00F819AD">
          <w:rPr>
            <w:rStyle w:val="Hyperlink"/>
            <w:rFonts w:ascii="Helvetica" w:eastAsia="Helvetica" w:hAnsi="Helvetica" w:cs="Helvetica"/>
            <w:sz w:val="22"/>
            <w:szCs w:val="22"/>
          </w:rPr>
          <w:lastRenderedPageBreak/>
          <w:t>inequality is growing</w:t>
        </w:r>
      </w:hyperlink>
      <w:r w:rsidR="003C2A19" w:rsidRPr="00F819AD">
        <w:rPr>
          <w:rStyle w:val="FootnoteReference"/>
          <w:rFonts w:ascii="Helvetica" w:eastAsia="Helvetica" w:hAnsi="Helvetica" w:cs="Helvetica"/>
          <w:sz w:val="22"/>
          <w:szCs w:val="22"/>
          <w:u w:val="single"/>
        </w:rPr>
        <w:footnoteReference w:id="8"/>
      </w:r>
      <w:r w:rsidR="00CF14B6" w:rsidRPr="00F819AD">
        <w:rPr>
          <w:rFonts w:ascii="Helvetica" w:eastAsia="Helvetica" w:hAnsi="Helvetica" w:cs="Helvetica"/>
          <w:sz w:val="22"/>
          <w:szCs w:val="22"/>
        </w:rPr>
        <w:t xml:space="preserve"> in the United States. After becoming more equal </w:t>
      </w:r>
      <w:r w:rsidR="0009178F">
        <w:rPr>
          <w:rFonts w:ascii="Helvetica" w:eastAsia="Helvetica" w:hAnsi="Helvetica" w:cs="Helvetica"/>
          <w:sz w:val="22"/>
          <w:szCs w:val="22"/>
        </w:rPr>
        <w:t>in</w:t>
      </w:r>
      <w:r w:rsidR="0009178F" w:rsidRPr="00F819AD">
        <w:rPr>
          <w:rFonts w:ascii="Helvetica" w:eastAsia="Helvetica" w:hAnsi="Helvetica" w:cs="Helvetica"/>
          <w:sz w:val="22"/>
          <w:szCs w:val="22"/>
        </w:rPr>
        <w:t xml:space="preserve"> </w:t>
      </w:r>
      <w:r w:rsidR="00CF14B6" w:rsidRPr="00F819AD">
        <w:rPr>
          <w:rFonts w:ascii="Helvetica" w:eastAsia="Helvetica" w:hAnsi="Helvetica" w:cs="Helvetica"/>
          <w:sz w:val="22"/>
          <w:szCs w:val="22"/>
        </w:rPr>
        <w:t>the mid-20th century, wealth inequality began rising again in the 1970s and is now back to levels not seen since the early 1900s.</w:t>
      </w:r>
    </w:p>
    <w:p w14:paraId="5120F9CB" w14:textId="62D5A9A1" w:rsidR="004568A6" w:rsidRPr="00F6022F" w:rsidRDefault="004568A6" w:rsidP="00F6022F">
      <w:pPr>
        <w:pStyle w:val="paragraph"/>
        <w:spacing w:line="276" w:lineRule="auto"/>
        <w:textAlignment w:val="baseline"/>
        <w:rPr>
          <w:rStyle w:val="normaltextrun1"/>
          <w:rFonts w:ascii="Helvetica" w:eastAsiaTheme="minorHAnsi" w:hAnsi="Helvetica" w:cs="Helvetica"/>
          <w:b/>
          <w:bCs/>
          <w:sz w:val="22"/>
          <w:szCs w:val="22"/>
        </w:rPr>
      </w:pPr>
    </w:p>
    <w:p w14:paraId="51049D26" w14:textId="028368BF" w:rsidR="005748F6" w:rsidRPr="00F6022F" w:rsidRDefault="00292F63" w:rsidP="00F6022F">
      <w:pPr>
        <w:pStyle w:val="paragraph"/>
        <w:keepNext/>
        <w:spacing w:line="276" w:lineRule="auto"/>
        <w:jc w:val="center"/>
        <w:textAlignment w:val="baseline"/>
        <w:rPr>
          <w:rFonts w:ascii="Helvetica" w:hAnsi="Helvetica" w:cs="Helvetica"/>
          <w:sz w:val="22"/>
          <w:szCs w:val="22"/>
        </w:rPr>
      </w:pPr>
      <w:r w:rsidRPr="00F6022F">
        <w:rPr>
          <w:rFonts w:ascii="Helvetica" w:hAnsi="Helvetica" w:cs="Helvetica"/>
          <w:noProof/>
          <w:sz w:val="22"/>
          <w:szCs w:val="22"/>
        </w:rPr>
        <w:drawing>
          <wp:inline distT="0" distB="0" distL="0" distR="0" wp14:anchorId="493E3971" wp14:editId="15BFB1DF">
            <wp:extent cx="5013960" cy="4242582"/>
            <wp:effectExtent l="57150" t="57150" r="110490" b="1200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7894" cy="42459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D97129" w14:textId="1952DEF1" w:rsidR="007656F3" w:rsidRPr="00F819AD" w:rsidRDefault="005748F6" w:rsidP="00F819AD">
      <w:pPr>
        <w:pStyle w:val="Caption"/>
        <w:spacing w:line="276" w:lineRule="auto"/>
        <w:jc w:val="center"/>
        <w:rPr>
          <w:rStyle w:val="normaltextrun1"/>
          <w:rFonts w:ascii="Helvetica" w:eastAsia="Helvetica" w:hAnsi="Helvetica" w:cs="Helvetica"/>
          <w:b/>
          <w:bCs/>
          <w:i w:val="0"/>
          <w:iCs w:val="0"/>
          <w:color w:val="auto"/>
          <w:sz w:val="22"/>
          <w:szCs w:val="22"/>
        </w:rPr>
      </w:pPr>
      <w:r w:rsidRPr="00F819AD">
        <w:rPr>
          <w:rFonts w:ascii="Helvetica" w:eastAsia="Helvetica" w:hAnsi="Helvetica" w:cs="Helvetica"/>
          <w:sz w:val="22"/>
          <w:szCs w:val="22"/>
        </w:rPr>
        <w:t xml:space="preserve">Figure </w:t>
      </w:r>
      <w:r w:rsidR="00EA254F" w:rsidRPr="00F819AD">
        <w:fldChar w:fldCharType="begin"/>
      </w:r>
      <w:r w:rsidR="00EA254F" w:rsidRPr="00F6022F">
        <w:rPr>
          <w:rFonts w:ascii="Helvetica" w:hAnsi="Helvetica" w:cs="Helvetica"/>
          <w:noProof/>
          <w:sz w:val="22"/>
          <w:szCs w:val="22"/>
        </w:rPr>
        <w:instrText xml:space="preserve"> SEQ Figure \* ARABIC </w:instrText>
      </w:r>
      <w:r w:rsidR="00EA254F" w:rsidRPr="00F819AD">
        <w:rPr>
          <w:rFonts w:ascii="Helvetica" w:hAnsi="Helvetica" w:cs="Helvetica"/>
          <w:noProof/>
          <w:sz w:val="22"/>
          <w:szCs w:val="22"/>
        </w:rPr>
        <w:fldChar w:fldCharType="separate"/>
      </w:r>
      <w:r w:rsidR="00BA0EDE" w:rsidRPr="00F819AD">
        <w:rPr>
          <w:rFonts w:ascii="Helvetica" w:eastAsia="Helvetica" w:hAnsi="Helvetica" w:cs="Helvetica"/>
          <w:sz w:val="22"/>
          <w:szCs w:val="22"/>
        </w:rPr>
        <w:t>3</w:t>
      </w:r>
      <w:r w:rsidR="00EA254F" w:rsidRPr="00F819AD">
        <w:fldChar w:fldCharType="end"/>
      </w:r>
      <w:r w:rsidR="002D6167" w:rsidRPr="31E87F94">
        <w:t xml:space="preserve"> </w:t>
      </w:r>
      <w:r w:rsidR="002D6167">
        <w:rPr>
          <w:rStyle w:val="FootnoteReference"/>
        </w:rPr>
        <w:footnoteReference w:id="9"/>
      </w:r>
    </w:p>
    <w:p w14:paraId="46F19D97" w14:textId="77777777" w:rsidR="00292F63" w:rsidRPr="00B21E02" w:rsidRDefault="00292F63" w:rsidP="00F6022F">
      <w:pPr>
        <w:pStyle w:val="paragraph"/>
        <w:spacing w:line="276" w:lineRule="auto"/>
        <w:jc w:val="center"/>
        <w:textAlignment w:val="baseline"/>
        <w:rPr>
          <w:rStyle w:val="normaltextrun1"/>
          <w:rFonts w:ascii="Arial" w:eastAsiaTheme="minorHAnsi" w:hAnsi="Arial" w:cs="Arial"/>
          <w:b/>
          <w:bCs/>
          <w:i/>
          <w:iCs/>
          <w:color w:val="44546A" w:themeColor="text2"/>
          <w:sz w:val="22"/>
          <w:szCs w:val="22"/>
        </w:rPr>
      </w:pPr>
    </w:p>
    <w:p w14:paraId="02B669D7" w14:textId="2968C030" w:rsidR="003C2A19" w:rsidRPr="00B21E02" w:rsidRDefault="003C2A19" w:rsidP="00F819AD">
      <w:pPr>
        <w:pStyle w:val="NoSpacing"/>
        <w:tabs>
          <w:tab w:val="left" w:pos="450"/>
        </w:tabs>
        <w:spacing w:after="120" w:line="276" w:lineRule="auto"/>
      </w:pPr>
      <w:r w:rsidRPr="00F819AD">
        <w:rPr>
          <w:rFonts w:ascii="Arial" w:eastAsia="Arial" w:hAnsi="Arial" w:cs="Arial"/>
          <w:b/>
          <w:color w:val="C00000"/>
          <w:sz w:val="36"/>
          <w:szCs w:val="36"/>
        </w:rPr>
        <w:t xml:space="preserve">Wealth </w:t>
      </w:r>
      <w:r w:rsidR="00B62E81" w:rsidRPr="00F819AD">
        <w:rPr>
          <w:rFonts w:ascii="Arial" w:eastAsia="Arial" w:hAnsi="Arial" w:cs="Arial"/>
          <w:b/>
          <w:color w:val="C00000"/>
          <w:sz w:val="36"/>
          <w:szCs w:val="36"/>
        </w:rPr>
        <w:t xml:space="preserve">Inequality </w:t>
      </w:r>
      <w:r w:rsidRPr="00F819AD">
        <w:rPr>
          <w:rFonts w:ascii="Arial" w:eastAsia="Arial" w:hAnsi="Arial" w:cs="Arial"/>
          <w:b/>
          <w:color w:val="C00000"/>
          <w:sz w:val="36"/>
          <w:szCs w:val="36"/>
        </w:rPr>
        <w:t>and Race in America</w:t>
      </w:r>
    </w:p>
    <w:p w14:paraId="527C8565" w14:textId="32D1C0E2" w:rsidR="0023732C" w:rsidRPr="00F819AD" w:rsidRDefault="000B07EB" w:rsidP="00F819AD">
      <w:pPr>
        <w:tabs>
          <w:tab w:val="left" w:pos="450"/>
        </w:tabs>
        <w:spacing w:after="120" w:line="276" w:lineRule="auto"/>
        <w:rPr>
          <w:rFonts w:ascii="Helvetica,Times New Roman" w:eastAsia="Helvetica,Times New Roman" w:hAnsi="Helvetica,Times New Roman" w:cs="Helvetica,Times New Roman"/>
        </w:rPr>
      </w:pPr>
      <w:r w:rsidRPr="00F819AD">
        <w:rPr>
          <w:rFonts w:ascii="Helvetica" w:eastAsia="Helvetica" w:hAnsi="Helvetica" w:cs="Helvetica"/>
        </w:rPr>
        <w:t xml:space="preserve">Wealth inequality is even more drastic </w:t>
      </w:r>
      <w:r w:rsidR="00500BB0" w:rsidRPr="00F819AD">
        <w:rPr>
          <w:rFonts w:ascii="Helvetica" w:eastAsia="Helvetica" w:hAnsi="Helvetica" w:cs="Helvetica"/>
        </w:rPr>
        <w:t>along</w:t>
      </w:r>
      <w:r w:rsidRPr="00F819AD">
        <w:rPr>
          <w:rFonts w:ascii="Helvetica" w:eastAsia="Helvetica" w:hAnsi="Helvetica" w:cs="Helvetica"/>
        </w:rPr>
        <w:t xml:space="preserve"> racial lines. </w:t>
      </w:r>
      <w:r w:rsidR="00500BB0" w:rsidRPr="00F819AD">
        <w:rPr>
          <w:rFonts w:ascii="Helvetica" w:eastAsia="Helvetica" w:hAnsi="Helvetica" w:cs="Helvetica"/>
        </w:rPr>
        <w:t xml:space="preserve">In 2016, </w:t>
      </w:r>
      <w:r w:rsidR="0091579A" w:rsidRPr="00F819AD">
        <w:rPr>
          <w:rFonts w:ascii="Helvetica" w:eastAsia="Helvetica" w:hAnsi="Helvetica" w:cs="Helvetica"/>
        </w:rPr>
        <w:t xml:space="preserve">the median wealth </w:t>
      </w:r>
      <w:r w:rsidR="00C24D08" w:rsidRPr="00F819AD">
        <w:rPr>
          <w:rFonts w:ascii="Helvetica" w:eastAsia="Helvetica" w:hAnsi="Helvetica" w:cs="Helvetica"/>
        </w:rPr>
        <w:t>for white families was</w:t>
      </w:r>
      <w:r w:rsidR="001C330A" w:rsidRPr="00F819AD">
        <w:rPr>
          <w:rFonts w:ascii="Helvetica" w:eastAsia="Helvetica" w:hAnsi="Helvetica" w:cs="Helvetica"/>
        </w:rPr>
        <w:t xml:space="preserve"> $171,000 while</w:t>
      </w:r>
      <w:r w:rsidR="00E230C5" w:rsidRPr="00F819AD">
        <w:rPr>
          <w:rFonts w:ascii="Helvetica" w:eastAsia="Helvetica" w:hAnsi="Helvetica" w:cs="Helvetica"/>
        </w:rPr>
        <w:t xml:space="preserve"> </w:t>
      </w:r>
      <w:r w:rsidR="00675317">
        <w:rPr>
          <w:rFonts w:ascii="Helvetica" w:eastAsia="Helvetica" w:hAnsi="Helvetica" w:cs="Helvetica"/>
        </w:rPr>
        <w:t>African American</w:t>
      </w:r>
      <w:r w:rsidR="00E230C5" w:rsidRPr="00F819AD">
        <w:rPr>
          <w:rFonts w:ascii="Helvetica" w:eastAsia="Helvetica" w:hAnsi="Helvetica" w:cs="Helvetica"/>
        </w:rPr>
        <w:t xml:space="preserve"> families had $17,409</w:t>
      </w:r>
      <w:r w:rsidR="002D395F" w:rsidRPr="00F819AD">
        <w:rPr>
          <w:rFonts w:ascii="Helvetica" w:eastAsia="Helvetica" w:hAnsi="Helvetica" w:cs="Helvetica"/>
        </w:rPr>
        <w:t xml:space="preserve"> in median wealth</w:t>
      </w:r>
      <w:r w:rsidR="00E230C5" w:rsidRPr="00F819AD">
        <w:rPr>
          <w:rFonts w:ascii="Helvetica" w:eastAsia="Helvetica" w:hAnsi="Helvetica" w:cs="Helvetica"/>
        </w:rPr>
        <w:t xml:space="preserve"> and Hispanic families had </w:t>
      </w:r>
      <w:r w:rsidR="002D395F" w:rsidRPr="00F819AD">
        <w:rPr>
          <w:rFonts w:ascii="Helvetica" w:eastAsia="Helvetica" w:hAnsi="Helvetica" w:cs="Helvetica"/>
        </w:rPr>
        <w:t>$20,920.</w:t>
      </w:r>
      <w:r w:rsidR="003C2A19" w:rsidRPr="00F819AD">
        <w:rPr>
          <w:rStyle w:val="FootnoteReference"/>
          <w:rFonts w:ascii="Helvetica" w:eastAsia="Helvetica" w:hAnsi="Helvetica" w:cs="Helvetica"/>
        </w:rPr>
        <w:footnoteReference w:id="10"/>
      </w:r>
      <w:r w:rsidR="002D395F" w:rsidRPr="00F819AD">
        <w:rPr>
          <w:rFonts w:ascii="Helvetica" w:eastAsia="Helvetica" w:hAnsi="Helvetica" w:cs="Helvetica"/>
        </w:rPr>
        <w:t xml:space="preserve"> Put another way, median wealth for white families </w:t>
      </w:r>
      <w:hyperlink r:id="rId18" w:history="1">
        <w:r w:rsidR="002D395F" w:rsidRPr="00F819AD">
          <w:rPr>
            <w:rStyle w:val="Hyperlink"/>
            <w:rFonts w:ascii="Helvetica" w:eastAsia="Helvetica" w:hAnsi="Helvetica" w:cs="Helvetica"/>
          </w:rPr>
          <w:t xml:space="preserve">was 10 times </w:t>
        </w:r>
        <w:r w:rsidR="005F3FC7" w:rsidRPr="00F819AD">
          <w:rPr>
            <w:rStyle w:val="Hyperlink"/>
            <w:rFonts w:ascii="Helvetica" w:eastAsia="Helvetica" w:hAnsi="Helvetica" w:cs="Helvetica"/>
          </w:rPr>
          <w:t xml:space="preserve">greater than </w:t>
        </w:r>
        <w:r w:rsidR="00675317">
          <w:rPr>
            <w:rStyle w:val="Hyperlink"/>
            <w:rFonts w:ascii="Helvetica" w:eastAsia="Helvetica" w:hAnsi="Helvetica" w:cs="Helvetica"/>
          </w:rPr>
          <w:t>African American</w:t>
        </w:r>
        <w:r w:rsidR="005F3FC7" w:rsidRPr="00F819AD">
          <w:rPr>
            <w:rStyle w:val="Hyperlink"/>
            <w:rFonts w:ascii="Helvetica" w:eastAsia="Helvetica" w:hAnsi="Helvetica" w:cs="Helvetica"/>
          </w:rPr>
          <w:t xml:space="preserve"> family wealth and eight times greater than Hispanic</w:t>
        </w:r>
      </w:hyperlink>
      <w:r w:rsidR="005F3FC7" w:rsidRPr="00F819AD">
        <w:rPr>
          <w:rFonts w:ascii="Helvetica" w:eastAsia="Helvetica" w:hAnsi="Helvetica" w:cs="Helvetica"/>
        </w:rPr>
        <w:t xml:space="preserve"> family wealth.</w:t>
      </w:r>
      <w:r w:rsidR="00561463" w:rsidRPr="00F819AD">
        <w:rPr>
          <w:rFonts w:ascii="Helvetica" w:eastAsia="Helvetica" w:hAnsi="Helvetica" w:cs="Helvetica"/>
        </w:rPr>
        <w:t xml:space="preserve"> </w:t>
      </w:r>
      <w:r w:rsidR="00561463" w:rsidRPr="00F819AD">
        <w:rPr>
          <w:rFonts w:ascii="Helvetica" w:eastAsia="Helvetica" w:hAnsi="Helvetica" w:cs="Helvetica"/>
        </w:rPr>
        <w:lastRenderedPageBreak/>
        <w:t xml:space="preserve">African-Americans and </w:t>
      </w:r>
      <w:r w:rsidR="0009178F">
        <w:rPr>
          <w:rFonts w:ascii="Helvetica" w:eastAsia="Helvetica" w:hAnsi="Helvetica" w:cs="Helvetica"/>
        </w:rPr>
        <w:t>Hispanics</w:t>
      </w:r>
      <w:r w:rsidR="00561463" w:rsidRPr="00F819AD">
        <w:rPr>
          <w:rFonts w:ascii="Helvetica" w:eastAsia="Helvetica" w:hAnsi="Helvetica" w:cs="Helvetica"/>
        </w:rPr>
        <w:t xml:space="preserve"> are </w:t>
      </w:r>
      <w:r w:rsidR="002D5035" w:rsidRPr="00F819AD">
        <w:rPr>
          <w:rFonts w:ascii="Helvetica" w:eastAsia="Helvetica" w:hAnsi="Helvetica" w:cs="Helvetica"/>
        </w:rPr>
        <w:t xml:space="preserve">also </w:t>
      </w:r>
      <w:r w:rsidR="00561463" w:rsidRPr="00F819AD">
        <w:rPr>
          <w:rFonts w:ascii="Helvetica" w:eastAsia="Helvetica" w:hAnsi="Helvetica" w:cs="Helvetica"/>
        </w:rPr>
        <w:t>more than twice as likely to have no assets as whites.</w:t>
      </w:r>
      <w:r w:rsidR="003C2A19" w:rsidRPr="00F819AD">
        <w:rPr>
          <w:rStyle w:val="FootnoteReference"/>
          <w:rFonts w:ascii="Helvetica,Times New Roman" w:eastAsia="Helvetica,Times New Roman" w:hAnsi="Helvetica,Times New Roman" w:cs="Helvetica,Times New Roman"/>
        </w:rPr>
        <w:footnoteReference w:id="11"/>
      </w:r>
      <w:r w:rsidR="00561463" w:rsidRPr="00F819AD">
        <w:rPr>
          <w:rFonts w:ascii="Helvetica" w:eastAsia="Helvetica" w:hAnsi="Helvetica" w:cs="Helvetica"/>
        </w:rPr>
        <w:t xml:space="preserve"> People of color are more likely to have zero or negative net worth. </w:t>
      </w:r>
      <w:r w:rsidR="00592580" w:rsidRPr="00F819AD">
        <w:rPr>
          <w:rFonts w:ascii="Helvetica" w:eastAsia="Helvetica" w:hAnsi="Helvetica" w:cs="Helvetica"/>
        </w:rPr>
        <w:t xml:space="preserve">For the historical roots of centuries of policies that created the racial wealth divide, see further below. </w:t>
      </w:r>
    </w:p>
    <w:p w14:paraId="0D89FA66" w14:textId="60152E3F" w:rsidR="0023732C" w:rsidRPr="00F6022F" w:rsidRDefault="0023732C" w:rsidP="00F819AD">
      <w:pPr>
        <w:keepNext/>
        <w:spacing w:after="120" w:line="276" w:lineRule="auto"/>
        <w:jc w:val="center"/>
        <w:rPr>
          <w:rFonts w:ascii="Helvetica" w:hAnsi="Helvetica" w:cs="Helvetica"/>
        </w:rPr>
      </w:pPr>
      <w:r w:rsidRPr="00F6022F">
        <w:rPr>
          <w:rFonts w:ascii="Helvetica" w:hAnsi="Helvetica" w:cs="Helvetica"/>
          <w:noProof/>
        </w:rPr>
        <w:drawing>
          <wp:inline distT="0" distB="0" distL="0" distR="0" wp14:anchorId="08F4BB5A" wp14:editId="46BE935D">
            <wp:extent cx="5278847" cy="2830664"/>
            <wp:effectExtent l="57150" t="57150" r="112395" b="1225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3302" cy="28384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93B17A" w14:textId="42311615" w:rsidR="0023732C" w:rsidRPr="00F819AD" w:rsidRDefault="0023732C" w:rsidP="00F819AD">
      <w:pPr>
        <w:pStyle w:val="Caption"/>
        <w:spacing w:after="120" w:line="276" w:lineRule="auto"/>
        <w:jc w:val="center"/>
        <w:rPr>
          <w:rFonts w:ascii="Arial,Times New Roman" w:eastAsia="Arial,Times New Roman" w:hAnsi="Arial,Times New Roman" w:cs="Arial,Times New Roman"/>
          <w:i w:val="0"/>
          <w:iCs w:val="0"/>
          <w:sz w:val="22"/>
          <w:szCs w:val="22"/>
          <w:vertAlign w:val="superscript"/>
        </w:rPr>
      </w:pPr>
      <w:r w:rsidRPr="00F819AD">
        <w:rPr>
          <w:rFonts w:ascii="Arial" w:eastAsia="Arial" w:hAnsi="Arial" w:cs="Arial"/>
          <w:sz w:val="22"/>
          <w:szCs w:val="22"/>
        </w:rPr>
        <w:t xml:space="preserve">Figure </w:t>
      </w:r>
      <w:r w:rsidRPr="00F819AD">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00BA0EDE" w:rsidRPr="00F819AD">
        <w:rPr>
          <w:rFonts w:ascii="Arial" w:eastAsia="Arial" w:hAnsi="Arial" w:cs="Arial"/>
          <w:noProof/>
          <w:sz w:val="22"/>
          <w:szCs w:val="22"/>
        </w:rPr>
        <w:t>4</w:t>
      </w:r>
      <w:r w:rsidRPr="00F819AD">
        <w:fldChar w:fldCharType="end"/>
      </w:r>
      <w:r w:rsidR="002D6167" w:rsidRPr="00F819AD">
        <w:rPr>
          <w:rFonts w:ascii="Arial" w:eastAsia="Arial" w:hAnsi="Arial" w:cs="Arial"/>
          <w:i w:val="0"/>
          <w:iCs w:val="0"/>
          <w:sz w:val="22"/>
          <w:szCs w:val="22"/>
        </w:rPr>
        <w:t xml:space="preserve"> </w:t>
      </w:r>
      <w:r w:rsidR="002D6167" w:rsidRPr="00F819AD">
        <w:rPr>
          <w:rFonts w:ascii="Arial" w:eastAsia="Arial" w:hAnsi="Arial" w:cs="Arial"/>
          <w:i w:val="0"/>
          <w:iCs w:val="0"/>
          <w:sz w:val="22"/>
          <w:szCs w:val="22"/>
          <w:vertAlign w:val="superscript"/>
        </w:rPr>
        <w:t>10</w:t>
      </w:r>
    </w:p>
    <w:p w14:paraId="5E0A7D06" w14:textId="77777777" w:rsidR="00B95066" w:rsidRDefault="00B95066" w:rsidP="00F819AD">
      <w:pPr>
        <w:pStyle w:val="paragraph"/>
        <w:spacing w:after="120" w:line="276" w:lineRule="auto"/>
        <w:textAlignment w:val="baseline"/>
        <w:rPr>
          <w:rStyle w:val="eop"/>
          <w:rFonts w:ascii="Arial" w:eastAsia="Arial" w:hAnsi="Arial" w:cs="Arial"/>
          <w:b/>
          <w:i/>
          <w:iCs/>
          <w:color w:val="C00000"/>
          <w:sz w:val="36"/>
          <w:szCs w:val="36"/>
        </w:rPr>
      </w:pPr>
    </w:p>
    <w:p w14:paraId="349D51B6" w14:textId="33E16AF1" w:rsidR="00721B75" w:rsidRPr="00B21E02" w:rsidRDefault="00721B75" w:rsidP="00F819AD">
      <w:pPr>
        <w:pStyle w:val="paragraph"/>
        <w:spacing w:after="120" w:line="276" w:lineRule="auto"/>
        <w:textAlignment w:val="baseline"/>
        <w:rPr>
          <w:rStyle w:val="eop"/>
          <w:rFonts w:ascii="Arial" w:eastAsiaTheme="minorHAnsi" w:hAnsi="Arial" w:cs="Arial"/>
          <w:sz w:val="22"/>
          <w:szCs w:val="22"/>
        </w:rPr>
      </w:pPr>
      <w:r w:rsidRPr="00F819AD">
        <w:rPr>
          <w:rStyle w:val="eop"/>
          <w:rFonts w:ascii="Arial" w:eastAsia="Arial" w:hAnsi="Arial" w:cs="Arial"/>
          <w:b/>
          <w:color w:val="C00000"/>
          <w:sz w:val="36"/>
          <w:szCs w:val="36"/>
        </w:rPr>
        <w:t xml:space="preserve">How Housing Impacts Racial Wealth Inequality </w:t>
      </w:r>
    </w:p>
    <w:p w14:paraId="12547F06" w14:textId="33EFB443" w:rsidR="00721B75" w:rsidRPr="00F819AD" w:rsidRDefault="00721B75" w:rsidP="00F819AD">
      <w:pPr>
        <w:pStyle w:val="paragraph"/>
        <w:spacing w:after="120" w:line="276" w:lineRule="auto"/>
        <w:textAlignment w:val="baseline"/>
        <w:rPr>
          <w:rFonts w:ascii="Helvetica" w:eastAsia="Helvetica" w:hAnsi="Helvetica" w:cs="Helvetica"/>
          <w:sz w:val="22"/>
          <w:szCs w:val="22"/>
        </w:rPr>
      </w:pPr>
      <w:r w:rsidRPr="00F819AD">
        <w:rPr>
          <w:rStyle w:val="eop"/>
          <w:rFonts w:ascii="Helvetica" w:eastAsia="Helvetica" w:hAnsi="Helvetica" w:cs="Helvetica"/>
          <w:sz w:val="22"/>
          <w:szCs w:val="22"/>
        </w:rPr>
        <w:t>Racial wealth disparities are particularly stark when it comes to housing. In the U</w:t>
      </w:r>
      <w:r w:rsidR="0009178F">
        <w:rPr>
          <w:rStyle w:val="eop"/>
          <w:rFonts w:ascii="Helvetica" w:eastAsia="Helvetica" w:hAnsi="Helvetica" w:cs="Helvetica"/>
          <w:sz w:val="22"/>
          <w:szCs w:val="22"/>
        </w:rPr>
        <w:t>.S.,</w:t>
      </w:r>
      <w:r w:rsidRPr="00F819AD">
        <w:rPr>
          <w:rStyle w:val="eop"/>
          <w:rFonts w:ascii="Helvetica" w:eastAsia="Helvetica" w:hAnsi="Helvetica" w:cs="Helvetica"/>
          <w:sz w:val="22"/>
          <w:szCs w:val="22"/>
        </w:rPr>
        <w:t xml:space="preserve"> housing is foundational to economic wellbeing and is a key determinant of access to opportunity and mobility from poverty. Research shows that </w:t>
      </w:r>
      <w:hyperlink r:id="rId20" w:history="1">
        <w:r w:rsidRPr="00F819AD">
          <w:rPr>
            <w:rStyle w:val="Hyperlink"/>
            <w:rFonts w:ascii="Helvetica" w:eastAsia="Helvetica" w:hAnsi="Helvetica" w:cs="Helvetica"/>
            <w:sz w:val="22"/>
            <w:szCs w:val="22"/>
          </w:rPr>
          <w:t>housing impacts several aspects of life</w:t>
        </w:r>
      </w:hyperlink>
      <w:r w:rsidRPr="00F819AD">
        <w:rPr>
          <w:rStyle w:val="eop"/>
          <w:rFonts w:ascii="Helvetica" w:eastAsia="Helvetica" w:hAnsi="Helvetica" w:cs="Helvetica"/>
          <w:sz w:val="22"/>
          <w:szCs w:val="22"/>
        </w:rPr>
        <w:t xml:space="preserve"> including your health, the quality of your education, and your future employment prospects.</w:t>
      </w:r>
      <w:r w:rsidRPr="00F819AD">
        <w:rPr>
          <w:rStyle w:val="FootnoteReference"/>
          <w:rFonts w:ascii="Helvetica" w:eastAsia="Helvetica" w:hAnsi="Helvetica" w:cs="Helvetica"/>
          <w:sz w:val="22"/>
          <w:szCs w:val="22"/>
        </w:rPr>
        <w:footnoteReference w:id="12"/>
      </w:r>
      <w:r w:rsidR="000549FF"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Further</w:t>
      </w:r>
      <w:r w:rsidR="009D6A29">
        <w:rPr>
          <w:rStyle w:val="eop"/>
          <w:rFonts w:ascii="Helvetica" w:eastAsia="Helvetica" w:hAnsi="Helvetica" w:cs="Helvetica"/>
          <w:sz w:val="22"/>
          <w:szCs w:val="22"/>
        </w:rPr>
        <w:t>more</w:t>
      </w:r>
      <w:r w:rsidRPr="00F819AD">
        <w:rPr>
          <w:rStyle w:val="eop"/>
          <w:rFonts w:ascii="Helvetica" w:eastAsia="Helvetica" w:hAnsi="Helvetica" w:cs="Helvetica"/>
          <w:sz w:val="22"/>
          <w:szCs w:val="22"/>
        </w:rPr>
        <w:t>, housing</w:t>
      </w:r>
      <w:r w:rsidR="009D6A29">
        <w:rPr>
          <w:rStyle w:val="eop"/>
          <w:rFonts w:ascii="Helvetica" w:eastAsia="Helvetica" w:hAnsi="Helvetica" w:cs="Helvetica"/>
          <w:sz w:val="22"/>
          <w:szCs w:val="22"/>
        </w:rPr>
        <w:t xml:space="preserve"> – </w:t>
      </w:r>
      <w:r w:rsidRPr="00F819AD">
        <w:rPr>
          <w:rStyle w:val="eop"/>
          <w:rFonts w:ascii="Helvetica" w:eastAsia="Helvetica" w:hAnsi="Helvetica" w:cs="Helvetica"/>
          <w:sz w:val="22"/>
          <w:szCs w:val="22"/>
        </w:rPr>
        <w:t>homeownership in particular</w:t>
      </w:r>
      <w:r w:rsidR="009D6A29">
        <w:rPr>
          <w:rStyle w:val="eop"/>
          <w:rFonts w:ascii="Helvetica" w:eastAsia="Helvetica" w:hAnsi="Helvetica" w:cs="Helvetica"/>
          <w:sz w:val="22"/>
          <w:szCs w:val="22"/>
        </w:rPr>
        <w:t xml:space="preserve"> – </w:t>
      </w:r>
      <w:r w:rsidRPr="00F819AD">
        <w:rPr>
          <w:rStyle w:val="eop"/>
          <w:rFonts w:ascii="Helvetica" w:eastAsia="Helvetica" w:hAnsi="Helvetica" w:cs="Helvetica"/>
          <w:sz w:val="22"/>
          <w:szCs w:val="22"/>
        </w:rPr>
        <w:t xml:space="preserve">is a significant source of wealth for many Americans. The Federal Reserve Bank estimated that the median net worth of homeowners was $195,400 compared to the median net worth of renters at $5,400. Yet, </w:t>
      </w:r>
      <w:r w:rsidRPr="00F819AD">
        <w:rPr>
          <w:rFonts w:ascii="Helvetica" w:eastAsia="Helvetica" w:hAnsi="Helvetica" w:cs="Helvetica"/>
          <w:sz w:val="22"/>
          <w:szCs w:val="22"/>
        </w:rPr>
        <w:t xml:space="preserve">buying a home is out of reach for many people of color. In 2016, the </w:t>
      </w:r>
      <w:hyperlink r:id="rId21" w:history="1">
        <w:r w:rsidRPr="00F819AD">
          <w:rPr>
            <w:rStyle w:val="Hyperlink"/>
            <w:rFonts w:ascii="Helvetica" w:eastAsia="Helvetica" w:hAnsi="Helvetica" w:cs="Helvetica"/>
            <w:sz w:val="22"/>
            <w:szCs w:val="22"/>
          </w:rPr>
          <w:t>homeownership rate</w:t>
        </w:r>
      </w:hyperlink>
      <w:r w:rsidRPr="00F819AD">
        <w:rPr>
          <w:rFonts w:ascii="Helvetica" w:eastAsia="Helvetica" w:hAnsi="Helvetica" w:cs="Helvetica"/>
          <w:sz w:val="22"/>
          <w:szCs w:val="22"/>
        </w:rPr>
        <w:t xml:space="preserve"> for whites was 71</w:t>
      </w:r>
      <w:r w:rsidR="00C740EA">
        <w:rPr>
          <w:rFonts w:ascii="Helvetica" w:eastAsia="Helvetica" w:hAnsi="Helvetica" w:cs="Helvetica"/>
          <w:sz w:val="22"/>
          <w:szCs w:val="22"/>
        </w:rPr>
        <w:t xml:space="preserve"> percent</w:t>
      </w:r>
      <w:r w:rsidRPr="00F819AD">
        <w:rPr>
          <w:rFonts w:ascii="Helvetica" w:eastAsia="Helvetica" w:hAnsi="Helvetica" w:cs="Helvetica"/>
          <w:sz w:val="22"/>
          <w:szCs w:val="22"/>
        </w:rPr>
        <w:t xml:space="preserve"> compared to 41-57</w:t>
      </w:r>
      <w:r w:rsidR="00C740EA">
        <w:rPr>
          <w:rFonts w:ascii="Helvetica" w:eastAsia="Helvetica" w:hAnsi="Helvetica" w:cs="Helvetica"/>
          <w:sz w:val="22"/>
          <w:szCs w:val="22"/>
        </w:rPr>
        <w:t xml:space="preserve"> percent</w:t>
      </w:r>
      <w:r w:rsidRPr="00F819AD">
        <w:rPr>
          <w:rFonts w:ascii="Helvetica" w:eastAsia="Helvetica" w:hAnsi="Helvetica" w:cs="Helvetica"/>
          <w:sz w:val="22"/>
          <w:szCs w:val="22"/>
        </w:rPr>
        <w:t xml:space="preserve"> for people of color.</w:t>
      </w:r>
      <w:r w:rsidRPr="00F819AD">
        <w:rPr>
          <w:rStyle w:val="FootnoteReference"/>
          <w:rFonts w:ascii="Helvetica" w:eastAsia="Helvetica" w:hAnsi="Helvetica" w:cs="Helvetica"/>
          <w:sz w:val="22"/>
          <w:szCs w:val="22"/>
        </w:rPr>
        <w:footnoteReference w:id="13"/>
      </w:r>
      <w:r w:rsidRPr="00F819AD">
        <w:rPr>
          <w:rFonts w:ascii="Helvetica" w:eastAsia="Helvetica" w:hAnsi="Helvetica" w:cs="Helvetica"/>
          <w:sz w:val="22"/>
          <w:szCs w:val="22"/>
        </w:rPr>
        <w:t xml:space="preserve"> </w:t>
      </w:r>
      <w:hyperlink r:id="rId22" w:history="1">
        <w:r w:rsidRPr="00F819AD">
          <w:rPr>
            <w:rStyle w:val="Hyperlink"/>
            <w:rFonts w:ascii="Helvetica" w:eastAsia="Helvetica" w:hAnsi="Helvetica" w:cs="Helvetica"/>
            <w:sz w:val="22"/>
            <w:szCs w:val="22"/>
          </w:rPr>
          <w:t>Additionally,</w:t>
        </w:r>
      </w:hyperlink>
      <w:r w:rsidRPr="00F819AD">
        <w:rPr>
          <w:rFonts w:ascii="Helvetica" w:eastAsia="Helvetica" w:hAnsi="Helvetica" w:cs="Helvetica"/>
          <w:sz w:val="22"/>
          <w:szCs w:val="22"/>
        </w:rPr>
        <w:t xml:space="preserve"> for families of color who do own homes, their home values tend to be lower on average than the homes of white families.</w:t>
      </w:r>
      <w:r w:rsidRPr="00F819AD">
        <w:rPr>
          <w:rStyle w:val="FootnoteReference"/>
          <w:rFonts w:ascii="Helvetica" w:eastAsia="Helvetica" w:hAnsi="Helvetica" w:cs="Helvetica"/>
          <w:sz w:val="22"/>
          <w:szCs w:val="22"/>
        </w:rPr>
        <w:footnoteReference w:id="14"/>
      </w:r>
      <w:r w:rsidRPr="00F819AD">
        <w:rPr>
          <w:rFonts w:ascii="Helvetica" w:eastAsia="Helvetica" w:hAnsi="Helvetica" w:cs="Helvetica"/>
          <w:sz w:val="22"/>
          <w:szCs w:val="22"/>
        </w:rPr>
        <w:t xml:space="preserve"> </w:t>
      </w:r>
    </w:p>
    <w:p w14:paraId="4E99BCBB" w14:textId="77777777" w:rsidR="00721B75" w:rsidRPr="00F6022F" w:rsidRDefault="00721B75" w:rsidP="00721B75">
      <w:pPr>
        <w:pStyle w:val="paragraph"/>
        <w:spacing w:line="276" w:lineRule="auto"/>
        <w:textAlignment w:val="baseline"/>
        <w:rPr>
          <w:rFonts w:ascii="Helvetica" w:hAnsi="Helvetica" w:cs="Helvetica"/>
          <w:sz w:val="22"/>
          <w:szCs w:val="22"/>
        </w:rPr>
      </w:pPr>
    </w:p>
    <w:p w14:paraId="7AEA2A92" w14:textId="78B470F7" w:rsidR="00721B75" w:rsidRPr="00F6022F" w:rsidRDefault="00721B75" w:rsidP="00721B75">
      <w:pPr>
        <w:pStyle w:val="paragraph"/>
        <w:keepNext/>
        <w:spacing w:line="276" w:lineRule="auto"/>
        <w:jc w:val="center"/>
        <w:textAlignment w:val="baseline"/>
        <w:rPr>
          <w:rFonts w:ascii="Helvetica" w:hAnsi="Helvetica" w:cs="Helvetica"/>
          <w:sz w:val="22"/>
          <w:szCs w:val="22"/>
        </w:rPr>
      </w:pPr>
      <w:r w:rsidRPr="00F6022F">
        <w:rPr>
          <w:rFonts w:ascii="Helvetica" w:hAnsi="Helvetica" w:cs="Helvetica"/>
          <w:noProof/>
          <w:sz w:val="22"/>
          <w:szCs w:val="22"/>
        </w:rPr>
        <w:drawing>
          <wp:inline distT="0" distB="0" distL="0" distR="0" wp14:anchorId="7256B9AB" wp14:editId="5E5AD873">
            <wp:extent cx="4567805" cy="3457575"/>
            <wp:effectExtent l="57150" t="57150" r="118745"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80385" cy="34670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9015A" w:rsidRPr="00F819AD">
        <w:rPr>
          <w:rStyle w:val="FootnoteReference"/>
          <w:rFonts w:ascii="Helvetica" w:eastAsia="Helvetica" w:hAnsi="Helvetica" w:cs="Helvetica"/>
          <w:color w:val="FFFFFF" w:themeColor="background1"/>
          <w:sz w:val="22"/>
          <w:szCs w:val="22"/>
        </w:rPr>
        <w:footnoteReference w:id="15"/>
      </w:r>
    </w:p>
    <w:p w14:paraId="3DAB8905" w14:textId="3F7C5B5E" w:rsidR="0039015A" w:rsidRPr="00F819AD" w:rsidRDefault="00721B75" w:rsidP="00F819AD">
      <w:pPr>
        <w:pStyle w:val="Caption"/>
        <w:spacing w:line="276" w:lineRule="auto"/>
        <w:jc w:val="center"/>
        <w:rPr>
          <w:sz w:val="22"/>
          <w:szCs w:val="22"/>
        </w:rPr>
      </w:pPr>
      <w:r w:rsidRPr="00F819AD">
        <w:rPr>
          <w:rFonts w:ascii="Arial" w:eastAsia="Arial" w:hAnsi="Arial" w:cs="Arial"/>
        </w:rPr>
        <w:t xml:space="preserve">Figure </w:t>
      </w:r>
      <w:r w:rsidR="0039015A" w:rsidRPr="00F819AD">
        <w:rPr>
          <w:rFonts w:ascii="Arial" w:eastAsia="Arial" w:hAnsi="Arial" w:cs="Arial"/>
          <w:sz w:val="22"/>
          <w:szCs w:val="22"/>
        </w:rPr>
        <w:t>6</w:t>
      </w:r>
      <w:r w:rsidR="0039015A" w:rsidRPr="00F819AD">
        <w:rPr>
          <w:rFonts w:ascii="Arial" w:eastAsia="Arial" w:hAnsi="Arial" w:cs="Arial"/>
          <w:i w:val="0"/>
          <w:iCs w:val="0"/>
          <w:color w:val="auto"/>
          <w:sz w:val="22"/>
          <w:szCs w:val="22"/>
        </w:rPr>
        <w:t xml:space="preserve"> </w:t>
      </w:r>
      <w:r w:rsidR="002D6167" w:rsidRPr="00F819AD">
        <w:rPr>
          <w:rFonts w:ascii="Arial" w:eastAsia="Arial" w:hAnsi="Arial" w:cs="Arial"/>
          <w:i w:val="0"/>
          <w:iCs w:val="0"/>
          <w:color w:val="auto"/>
          <w:sz w:val="22"/>
          <w:szCs w:val="22"/>
          <w:vertAlign w:val="superscript"/>
        </w:rPr>
        <w:t>15</w:t>
      </w:r>
      <w:r w:rsidR="00675317">
        <w:rPr>
          <w:rFonts w:ascii="Arial" w:eastAsia="Arial" w:hAnsi="Arial" w:cs="Arial"/>
          <w:i w:val="0"/>
          <w:iCs w:val="0"/>
          <w:color w:val="auto"/>
          <w:sz w:val="22"/>
          <w:szCs w:val="22"/>
        </w:rPr>
        <w:t xml:space="preserve">  </w:t>
      </w:r>
      <w:r w:rsidR="00675317">
        <w:rPr>
          <w:i w:val="0"/>
          <w:iCs w:val="0"/>
          <w:color w:val="auto"/>
          <w:sz w:val="22"/>
          <w:szCs w:val="22"/>
        </w:rPr>
        <w:t xml:space="preserve">                                                                                  </w:t>
      </w:r>
    </w:p>
    <w:p w14:paraId="3A106B2C" w14:textId="3FB729D6" w:rsidR="0039015A" w:rsidRDefault="0039015A" w:rsidP="00F819AD">
      <w:pPr>
        <w:pStyle w:val="Caption"/>
        <w:spacing w:line="276" w:lineRule="auto"/>
        <w:rPr>
          <w:sz w:val="22"/>
          <w:szCs w:val="22"/>
        </w:rPr>
      </w:pPr>
    </w:p>
    <w:p w14:paraId="4C81036A" w14:textId="0D614803" w:rsidR="00615188" w:rsidRPr="00F819AD" w:rsidRDefault="00853CAB" w:rsidP="00F819AD">
      <w:pPr>
        <w:pStyle w:val="Caption"/>
        <w:spacing w:after="240" w:line="276" w:lineRule="auto"/>
        <w:rPr>
          <w:rFonts w:ascii="Helvetica" w:hAnsi="Helvetica" w:cs="Helvetica"/>
          <w:color w:val="auto"/>
          <w:sz w:val="22"/>
          <w:szCs w:val="22"/>
        </w:rPr>
      </w:pPr>
      <w:r w:rsidRPr="00F819AD">
        <w:rPr>
          <w:rFonts w:ascii="Helvetica" w:hAnsi="Helvetica" w:cs="Helvetica"/>
          <w:i w:val="0"/>
          <w:iCs w:val="0"/>
          <w:noProof/>
          <w:color w:val="auto"/>
          <w:sz w:val="22"/>
          <w:szCs w:val="22"/>
        </w:rPr>
        <w:lastRenderedPageBreak/>
        <mc:AlternateContent>
          <mc:Choice Requires="wps">
            <w:drawing>
              <wp:anchor distT="0" distB="0" distL="114300" distR="114300" simplePos="0" relativeHeight="251707392" behindDoc="0" locked="0" layoutInCell="1" allowOverlap="1" wp14:anchorId="0A86E53A" wp14:editId="0B17FFC8">
                <wp:simplePos x="0" y="0"/>
                <wp:positionH relativeFrom="column">
                  <wp:posOffset>2759075</wp:posOffset>
                </wp:positionH>
                <wp:positionV relativeFrom="paragraph">
                  <wp:posOffset>3646170</wp:posOffset>
                </wp:positionV>
                <wp:extent cx="318452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184525" cy="635"/>
                        </a:xfrm>
                        <a:prstGeom prst="rect">
                          <a:avLst/>
                        </a:prstGeom>
                        <a:solidFill>
                          <a:prstClr val="white"/>
                        </a:solidFill>
                        <a:ln>
                          <a:noFill/>
                        </a:ln>
                      </wps:spPr>
                      <wps:txbx>
                        <w:txbxContent>
                          <w:p w14:paraId="0C6D16C1" w14:textId="73E415DF" w:rsidR="00601F98" w:rsidRPr="00F819AD" w:rsidRDefault="00601F98" w:rsidP="00F819AD">
                            <w:pPr>
                              <w:pStyle w:val="Caption"/>
                              <w:jc w:val="center"/>
                              <w:rPr>
                                <w:rFonts w:ascii="Arial" w:hAnsi="Arial" w:cs="Arial"/>
                                <w:noProof/>
                                <w:sz w:val="22"/>
                                <w:szCs w:val="22"/>
                              </w:rPr>
                            </w:pPr>
                            <w:r w:rsidRPr="00F819AD">
                              <w:rPr>
                                <w:rFonts w:ascii="Arial" w:hAnsi="Arial" w:cs="Arial"/>
                                <w:sz w:val="22"/>
                                <w:szCs w:val="22"/>
                              </w:rPr>
                              <w:t xml:space="preserve">Figure </w:t>
                            </w:r>
                            <w:r w:rsidRPr="00F819AD">
                              <w:rPr>
                                <w:rFonts w:ascii="Arial" w:hAnsi="Arial" w:cs="Arial"/>
                                <w:sz w:val="22"/>
                                <w:szCs w:val="22"/>
                              </w:rPr>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Pr="00F819AD">
                              <w:rPr>
                                <w:rFonts w:ascii="Arial" w:hAnsi="Arial" w:cs="Arial"/>
                                <w:noProof/>
                                <w:sz w:val="22"/>
                                <w:szCs w:val="22"/>
                              </w:rPr>
                              <w:t>7</w:t>
                            </w:r>
                            <w:r w:rsidRPr="00F819AD">
                              <w:rPr>
                                <w:rFonts w:ascii="Arial" w:hAnsi="Arial" w:cs="Arial"/>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6E53A" id="Text Box 32" o:spid="_x0000_s1027" type="#_x0000_t202" style="position:absolute;margin-left:217.25pt;margin-top:287.1pt;width:250.7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" stroked="f">
                <v:textbox style="mso-fit-shape-to-text:t" inset="0,0,0,0">
                  <w:txbxContent>
                    <w:p w14:paraId="0C6D16C1" w14:textId="73E415DF" w:rsidR="00601F98" w:rsidRPr="00F819AD" w:rsidRDefault="00601F98" w:rsidP="00F819AD">
                      <w:pPr>
                        <w:pStyle w:val="Caption"/>
                        <w:jc w:val="center"/>
                        <w:rPr>
                          <w:rFonts w:ascii="Arial" w:hAnsi="Arial" w:cs="Arial"/>
                          <w:noProof/>
                          <w:sz w:val="22"/>
                          <w:szCs w:val="22"/>
                        </w:rPr>
                      </w:pPr>
                      <w:r w:rsidRPr="00F819AD">
                        <w:rPr>
                          <w:rFonts w:ascii="Arial" w:hAnsi="Arial" w:cs="Arial"/>
                          <w:sz w:val="22"/>
                          <w:szCs w:val="22"/>
                        </w:rPr>
                        <w:t xml:space="preserve">Figure </w:t>
                      </w:r>
                      <w:r w:rsidRPr="00F819AD">
                        <w:rPr>
                          <w:rFonts w:ascii="Arial" w:hAnsi="Arial" w:cs="Arial"/>
                          <w:sz w:val="22"/>
                          <w:szCs w:val="22"/>
                        </w:rPr>
                        <w:fldChar w:fldCharType="begin"/>
                      </w:r>
                      <w:r w:rsidRPr="00F819AD">
                        <w:rPr>
                          <w:rFonts w:ascii="Arial" w:hAnsi="Arial" w:cs="Arial"/>
                          <w:sz w:val="22"/>
                          <w:szCs w:val="22"/>
                        </w:rPr>
                        <w:instrText xml:space="preserve"> SEQ Figure \* ARABIC </w:instrText>
                      </w:r>
                      <w:r w:rsidRPr="00F819AD">
                        <w:rPr>
                          <w:rFonts w:ascii="Arial" w:hAnsi="Arial" w:cs="Arial"/>
                          <w:sz w:val="22"/>
                          <w:szCs w:val="22"/>
                        </w:rPr>
                        <w:fldChar w:fldCharType="separate"/>
                      </w:r>
                      <w:r w:rsidRPr="00F819AD">
                        <w:rPr>
                          <w:rFonts w:ascii="Arial" w:hAnsi="Arial" w:cs="Arial"/>
                          <w:noProof/>
                          <w:sz w:val="22"/>
                          <w:szCs w:val="22"/>
                        </w:rPr>
                        <w:t>7</w:t>
                      </w:r>
                      <w:r w:rsidRPr="00F819AD">
                        <w:rPr>
                          <w:rFonts w:ascii="Arial" w:hAnsi="Arial" w:cs="Arial"/>
                          <w:sz w:val="22"/>
                          <w:szCs w:val="22"/>
                        </w:rPr>
                        <w:fldChar w:fldCharType="end"/>
                      </w:r>
                    </w:p>
                  </w:txbxContent>
                </v:textbox>
                <w10:wrap type="square"/>
              </v:shape>
            </w:pict>
          </mc:Fallback>
        </mc:AlternateContent>
      </w:r>
      <w:r w:rsidR="00011356" w:rsidRPr="00F819AD">
        <w:rPr>
          <w:rFonts w:ascii="Helvetica" w:hAnsi="Helvetica" w:cs="Helvetica"/>
          <w:i w:val="0"/>
          <w:iCs w:val="0"/>
          <w:noProof/>
          <w:color w:val="auto"/>
          <w:sz w:val="22"/>
          <w:szCs w:val="22"/>
        </w:rPr>
        <w:drawing>
          <wp:anchor distT="0" distB="0" distL="114300" distR="114300" simplePos="0" relativeHeight="251677696" behindDoc="1" locked="0" layoutInCell="1" allowOverlap="1" wp14:anchorId="05C1B798" wp14:editId="28C65315">
            <wp:simplePos x="0" y="0"/>
            <wp:positionH relativeFrom="margin">
              <wp:align>right</wp:align>
            </wp:positionH>
            <wp:positionV relativeFrom="paragraph">
              <wp:posOffset>0</wp:posOffset>
            </wp:positionV>
            <wp:extent cx="3184525" cy="35890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184525" cy="3589020"/>
                    </a:xfrm>
                    <a:prstGeom prst="rect">
                      <a:avLst/>
                    </a:prstGeom>
                  </pic:spPr>
                </pic:pic>
              </a:graphicData>
            </a:graphic>
            <wp14:sizeRelH relativeFrom="page">
              <wp14:pctWidth>0</wp14:pctWidth>
            </wp14:sizeRelH>
            <wp14:sizeRelV relativeFrom="page">
              <wp14:pctHeight>0</wp14:pctHeight>
            </wp14:sizeRelV>
          </wp:anchor>
        </w:drawing>
      </w:r>
      <w:r w:rsidR="00721B75" w:rsidRPr="00F819AD">
        <w:rPr>
          <w:rFonts w:ascii="Helvetica" w:eastAsia="Helvetica" w:hAnsi="Helvetica" w:cs="Helvetica"/>
          <w:i w:val="0"/>
          <w:iCs w:val="0"/>
          <w:color w:val="auto"/>
          <w:sz w:val="22"/>
          <w:szCs w:val="22"/>
        </w:rPr>
        <w:t xml:space="preserve">The significant decline in affordable housing nationwide presents another hurdle for families of color seeking to build wealth. The US is facing shortage of more than seven million affordable homes (see Figure </w:t>
      </w:r>
      <w:r w:rsidR="007C0241" w:rsidRPr="00F819AD">
        <w:rPr>
          <w:rFonts w:ascii="Helvetica" w:eastAsia="Helvetica" w:hAnsi="Helvetica" w:cs="Helvetica"/>
          <w:i w:val="0"/>
          <w:iCs w:val="0"/>
          <w:color w:val="auto"/>
          <w:sz w:val="22"/>
          <w:szCs w:val="22"/>
        </w:rPr>
        <w:t>5</w:t>
      </w:r>
      <w:r w:rsidR="00721B75" w:rsidRPr="00F819AD">
        <w:rPr>
          <w:rFonts w:ascii="Helvetica" w:eastAsia="Helvetica" w:hAnsi="Helvetica" w:cs="Helvetica"/>
          <w:i w:val="0"/>
          <w:iCs w:val="0"/>
          <w:color w:val="auto"/>
          <w:sz w:val="22"/>
          <w:szCs w:val="22"/>
        </w:rPr>
        <w:t xml:space="preserve">) and the supply of housing units available for less than $800/month in rent </w:t>
      </w:r>
      <w:r w:rsidR="00D42632" w:rsidRPr="00F819AD">
        <w:rPr>
          <w:rFonts w:ascii="Helvetica" w:eastAsia="Helvetica" w:hAnsi="Helvetica" w:cs="Helvetica"/>
          <w:i w:val="0"/>
          <w:iCs w:val="0"/>
          <w:color w:val="auto"/>
          <w:sz w:val="22"/>
          <w:szCs w:val="22"/>
        </w:rPr>
        <w:t xml:space="preserve">has </w:t>
      </w:r>
      <w:r w:rsidR="00721B75" w:rsidRPr="00F819AD">
        <w:rPr>
          <w:rFonts w:ascii="Helvetica" w:eastAsia="Helvetica" w:hAnsi="Helvetica" w:cs="Helvetica"/>
          <w:i w:val="0"/>
          <w:iCs w:val="0"/>
          <w:color w:val="auto"/>
          <w:sz w:val="22"/>
          <w:szCs w:val="22"/>
        </w:rPr>
        <w:t>dropped by 261,000 since 2005.</w:t>
      </w:r>
      <w:r w:rsidR="00721B75" w:rsidRPr="00F819AD">
        <w:rPr>
          <w:rStyle w:val="FootnoteReference"/>
          <w:rFonts w:ascii="Helvetica" w:eastAsia="Helvetica" w:hAnsi="Helvetica" w:cs="Helvetica"/>
          <w:i w:val="0"/>
          <w:iCs w:val="0"/>
          <w:color w:val="auto"/>
          <w:sz w:val="22"/>
          <w:szCs w:val="22"/>
        </w:rPr>
        <w:footnoteReference w:id="16"/>
      </w:r>
      <w:r w:rsidR="00721B75" w:rsidRPr="00F819AD">
        <w:rPr>
          <w:rFonts w:ascii="Helvetica" w:eastAsia="Helvetica" w:hAnsi="Helvetica" w:cs="Helvetica"/>
          <w:i w:val="0"/>
          <w:iCs w:val="0"/>
          <w:color w:val="auto"/>
          <w:sz w:val="22"/>
          <w:szCs w:val="22"/>
        </w:rPr>
        <w:t xml:space="preserve"> </w:t>
      </w:r>
      <w:r w:rsidR="004D1200" w:rsidRPr="00F819AD">
        <w:rPr>
          <w:rFonts w:ascii="Helvetica" w:eastAsia="Helvetica" w:hAnsi="Helvetica" w:cs="Helvetica"/>
          <w:i w:val="0"/>
          <w:iCs w:val="0"/>
          <w:color w:val="auto"/>
          <w:sz w:val="22"/>
          <w:szCs w:val="22"/>
        </w:rPr>
        <w:t>The resulting shortage means that on average nationwide there are only 35 affordable homes available to rent for every 100 extremely low-income renter households.</w:t>
      </w:r>
      <w:r w:rsidR="004D1200" w:rsidRPr="00F819AD">
        <w:rPr>
          <w:rFonts w:ascii="Helvetica" w:eastAsia="Helvetica" w:hAnsi="Helvetica" w:cs="Helvetica"/>
          <w:i w:val="0"/>
          <w:iCs w:val="0"/>
          <w:color w:val="auto"/>
          <w:sz w:val="22"/>
          <w:szCs w:val="22"/>
          <w:vertAlign w:val="superscript"/>
        </w:rPr>
        <w:t>15</w:t>
      </w:r>
      <w:r w:rsidR="004D1200" w:rsidRPr="00F819AD">
        <w:rPr>
          <w:rFonts w:ascii="Helvetica" w:eastAsia="Helvetica" w:hAnsi="Helvetica" w:cs="Helvetica"/>
          <w:i w:val="0"/>
          <w:iCs w:val="0"/>
          <w:color w:val="auto"/>
          <w:sz w:val="22"/>
          <w:szCs w:val="22"/>
        </w:rPr>
        <w:t xml:space="preserve"> </w:t>
      </w:r>
      <w:r w:rsidR="0098419D" w:rsidRPr="00F819AD">
        <w:rPr>
          <w:rFonts w:ascii="Helvetica" w:eastAsia="Helvetica" w:hAnsi="Helvetica" w:cs="Helvetica"/>
          <w:i w:val="0"/>
          <w:iCs w:val="0"/>
          <w:color w:val="auto"/>
          <w:sz w:val="22"/>
          <w:szCs w:val="22"/>
        </w:rPr>
        <w:t>According to a</w:t>
      </w:r>
      <w:r w:rsidR="004D1200" w:rsidRPr="00F819AD">
        <w:rPr>
          <w:rFonts w:ascii="Helvetica" w:eastAsia="Helvetica" w:hAnsi="Helvetica" w:cs="Helvetica"/>
          <w:i w:val="0"/>
          <w:iCs w:val="0"/>
          <w:color w:val="auto"/>
          <w:sz w:val="22"/>
          <w:szCs w:val="22"/>
        </w:rPr>
        <w:t xml:space="preserve"> 2018</w:t>
      </w:r>
      <w:r w:rsidR="0098419D" w:rsidRPr="00F819AD">
        <w:rPr>
          <w:rFonts w:ascii="Helvetica" w:eastAsia="Helvetica" w:hAnsi="Helvetica" w:cs="Helvetica"/>
          <w:i w:val="0"/>
          <w:iCs w:val="0"/>
          <w:color w:val="auto"/>
          <w:sz w:val="22"/>
          <w:szCs w:val="22"/>
        </w:rPr>
        <w:t xml:space="preserve"> studying </w:t>
      </w:r>
      <w:r w:rsidR="007A18CA" w:rsidRPr="00F819AD">
        <w:rPr>
          <w:rFonts w:ascii="Helvetica" w:eastAsia="Helvetica" w:hAnsi="Helvetica" w:cs="Helvetica"/>
          <w:i w:val="0"/>
          <w:iCs w:val="0"/>
          <w:color w:val="auto"/>
          <w:sz w:val="22"/>
          <w:szCs w:val="22"/>
        </w:rPr>
        <w:t xml:space="preserve">by the National Low Income Housing Coalition, </w:t>
      </w:r>
      <w:hyperlink r:id="rId25" w:history="1">
        <w:r w:rsidR="007A18CA" w:rsidRPr="00F819AD">
          <w:rPr>
            <w:rStyle w:val="Hyperlink"/>
            <w:rFonts w:ascii="Helvetica" w:eastAsia="Helvetica" w:hAnsi="Helvetica" w:cs="Helvetica"/>
            <w:i w:val="0"/>
            <w:iCs w:val="0"/>
            <w:sz w:val="22"/>
            <w:szCs w:val="22"/>
          </w:rPr>
          <w:t xml:space="preserve">there is not </w:t>
        </w:r>
        <w:r w:rsidR="000B589F" w:rsidRPr="00F819AD">
          <w:rPr>
            <w:rStyle w:val="Hyperlink"/>
            <w:rFonts w:ascii="Helvetica" w:eastAsia="Helvetica" w:hAnsi="Helvetica" w:cs="Helvetica"/>
            <w:i w:val="0"/>
            <w:iCs w:val="0"/>
            <w:sz w:val="22"/>
            <w:szCs w:val="22"/>
          </w:rPr>
          <w:t>a single US state where a worker m</w:t>
        </w:r>
        <w:r w:rsidR="002B319C" w:rsidRPr="00F819AD">
          <w:rPr>
            <w:rStyle w:val="Hyperlink"/>
            <w:rFonts w:ascii="Helvetica" w:eastAsia="Helvetica" w:hAnsi="Helvetica" w:cs="Helvetica"/>
            <w:i w:val="0"/>
            <w:iCs w:val="0"/>
            <w:sz w:val="22"/>
            <w:szCs w:val="22"/>
          </w:rPr>
          <w:t>aking the federal minimum wage ($7.25</w:t>
        </w:r>
        <w:r w:rsidR="00681252" w:rsidRPr="00F819AD">
          <w:rPr>
            <w:rStyle w:val="Hyperlink"/>
            <w:rFonts w:ascii="Helvetica" w:eastAsia="Helvetica" w:hAnsi="Helvetica" w:cs="Helvetica"/>
            <w:i w:val="0"/>
            <w:iCs w:val="0"/>
            <w:sz w:val="22"/>
            <w:szCs w:val="22"/>
          </w:rPr>
          <w:t xml:space="preserve"> per hour</w:t>
        </w:r>
        <w:r w:rsidR="002B319C" w:rsidRPr="00F819AD">
          <w:rPr>
            <w:rStyle w:val="Hyperlink"/>
            <w:rFonts w:ascii="Helvetica" w:eastAsia="Helvetica" w:hAnsi="Helvetica" w:cs="Helvetica"/>
            <w:i w:val="0"/>
            <w:iCs w:val="0"/>
            <w:sz w:val="22"/>
            <w:szCs w:val="22"/>
          </w:rPr>
          <w:t>) can afford a two-bedroom apartment</w:t>
        </w:r>
      </w:hyperlink>
      <w:r w:rsidR="008F4534" w:rsidRPr="00F819AD">
        <w:rPr>
          <w:rFonts w:ascii="Helvetica" w:hAnsi="Helvetica" w:cs="Helvetica"/>
          <w:color w:val="auto"/>
          <w:sz w:val="22"/>
          <w:szCs w:val="22"/>
        </w:rPr>
        <w:t>.</w:t>
      </w:r>
      <w:r w:rsidR="00D94562" w:rsidRPr="00F819AD">
        <w:rPr>
          <w:rStyle w:val="FootnoteReference"/>
          <w:rFonts w:ascii="Helvetica" w:eastAsia="Helvetica" w:hAnsi="Helvetica" w:cs="Helvetica"/>
          <w:i w:val="0"/>
          <w:iCs w:val="0"/>
          <w:color w:val="auto"/>
          <w:sz w:val="22"/>
          <w:szCs w:val="22"/>
        </w:rPr>
        <w:footnoteReference w:id="17"/>
      </w:r>
      <w:r w:rsidR="002B319C" w:rsidRPr="00F819AD">
        <w:rPr>
          <w:rFonts w:ascii="Helvetica" w:eastAsia="Helvetica" w:hAnsi="Helvetica" w:cs="Helvetica"/>
          <w:i w:val="0"/>
          <w:iCs w:val="0"/>
          <w:color w:val="auto"/>
          <w:sz w:val="22"/>
          <w:szCs w:val="22"/>
        </w:rPr>
        <w:t xml:space="preserve"> </w:t>
      </w:r>
      <w:r w:rsidR="00721B75" w:rsidRPr="00F819AD">
        <w:rPr>
          <w:rFonts w:ascii="Helvetica" w:eastAsia="Helvetica" w:hAnsi="Helvetica" w:cs="Helvetica"/>
          <w:i w:val="0"/>
          <w:iCs w:val="0"/>
          <w:color w:val="auto"/>
          <w:sz w:val="22"/>
          <w:szCs w:val="22"/>
        </w:rPr>
        <w:t xml:space="preserve">Since families of color are more likely than white families to be renters, the rising cost of rent and decline in affordable housing means more income is spent on rent and less money for savings or other wealth building activities. Outside of the housing market, the </w:t>
      </w:r>
      <w:hyperlink r:id="rId26" w:history="1">
        <w:r w:rsidR="00721B75" w:rsidRPr="00F819AD">
          <w:rPr>
            <w:rStyle w:val="Hyperlink"/>
            <w:rFonts w:ascii="Helvetica" w:eastAsia="Helvetica" w:hAnsi="Helvetica" w:cs="Helvetica"/>
            <w:i w:val="0"/>
            <w:iCs w:val="0"/>
            <w:sz w:val="22"/>
            <w:szCs w:val="22"/>
          </w:rPr>
          <w:t>federal</w:t>
        </w:r>
        <w:r w:rsidR="00675317" w:rsidRPr="00F819AD">
          <w:rPr>
            <w:rStyle w:val="Hyperlink"/>
            <w:rFonts w:ascii="Helvetica" w:eastAsia="Helvetica" w:hAnsi="Helvetica" w:cs="Helvetica"/>
            <w:i w:val="0"/>
            <w:iCs w:val="0"/>
            <w:sz w:val="22"/>
            <w:szCs w:val="22"/>
          </w:rPr>
          <w:t xml:space="preserve"> </w:t>
        </w:r>
        <w:r w:rsidR="00721B75" w:rsidRPr="00F819AD">
          <w:rPr>
            <w:rStyle w:val="Hyperlink"/>
            <w:rFonts w:ascii="Helvetica" w:eastAsia="Helvetica" w:hAnsi="Helvetica" w:cs="Helvetica"/>
            <w:i w:val="0"/>
            <w:iCs w:val="0"/>
            <w:sz w:val="22"/>
            <w:szCs w:val="22"/>
          </w:rPr>
          <w:t>government invests significantly more in supporting homeowners than it does for renters</w:t>
        </w:r>
      </w:hyperlink>
      <w:r w:rsidR="00721B75" w:rsidRPr="00F819AD">
        <w:rPr>
          <w:rFonts w:ascii="Helvetica" w:eastAsia="Helvetica" w:hAnsi="Helvetica" w:cs="Helvetica"/>
          <w:i w:val="0"/>
          <w:iCs w:val="0"/>
          <w:sz w:val="22"/>
          <w:szCs w:val="22"/>
        </w:rPr>
        <w:t xml:space="preserve"> </w:t>
      </w:r>
      <w:r w:rsidR="00721B75" w:rsidRPr="00F819AD">
        <w:rPr>
          <w:rFonts w:ascii="Helvetica" w:eastAsia="Helvetica" w:hAnsi="Helvetica" w:cs="Helvetica"/>
          <w:i w:val="0"/>
          <w:iCs w:val="0"/>
          <w:color w:val="auto"/>
          <w:sz w:val="22"/>
          <w:szCs w:val="22"/>
        </w:rPr>
        <w:t xml:space="preserve">largely to the benefit of wealthy, white households (see Figure </w:t>
      </w:r>
      <w:r w:rsidR="00731926" w:rsidRPr="00F819AD">
        <w:rPr>
          <w:rFonts w:ascii="Helvetica" w:eastAsia="Helvetica" w:hAnsi="Helvetica" w:cs="Helvetica"/>
          <w:i w:val="0"/>
          <w:iCs w:val="0"/>
          <w:color w:val="auto"/>
          <w:sz w:val="22"/>
          <w:szCs w:val="22"/>
        </w:rPr>
        <w:t>6</w:t>
      </w:r>
      <w:r w:rsidR="00721B75" w:rsidRPr="00F819AD">
        <w:rPr>
          <w:rFonts w:ascii="Helvetica" w:eastAsia="Helvetica" w:hAnsi="Helvetica" w:cs="Helvetica"/>
          <w:i w:val="0"/>
          <w:iCs w:val="0"/>
          <w:color w:val="auto"/>
          <w:sz w:val="22"/>
          <w:szCs w:val="22"/>
        </w:rPr>
        <w:t>). The barriers to affordable housing and homeownership pose a significant obstacle for people of color working to build wealth.</w:t>
      </w:r>
    </w:p>
    <w:p w14:paraId="60D7D698" w14:textId="2ED83608" w:rsidR="00721B75" w:rsidRPr="00F819AD" w:rsidRDefault="00721B75" w:rsidP="00F819AD">
      <w:pPr>
        <w:spacing w:after="120" w:line="276" w:lineRule="auto"/>
        <w:rPr>
          <w:rFonts w:ascii="Arial" w:eastAsia="Arial" w:hAnsi="Arial" w:cs="Arial"/>
          <w:b/>
          <w:color w:val="C00000"/>
          <w:sz w:val="36"/>
          <w:szCs w:val="36"/>
        </w:rPr>
      </w:pPr>
      <w:r w:rsidRPr="00F819AD">
        <w:rPr>
          <w:rFonts w:ascii="Arial" w:eastAsia="Arial" w:hAnsi="Arial" w:cs="Arial"/>
          <w:b/>
          <w:color w:val="C00000"/>
          <w:sz w:val="36"/>
          <w:szCs w:val="36"/>
        </w:rPr>
        <w:t>How Did We Get Here? The History Behind Housing Segregation and Racial Wealth Inequality</w:t>
      </w:r>
    </w:p>
    <w:bookmarkStart w:id="2" w:name="_Hlk518054333"/>
    <w:p w14:paraId="53506C8B" w14:textId="60A69E90" w:rsidR="00721B75" w:rsidRPr="00F819AD" w:rsidRDefault="000549FF" w:rsidP="00F819AD">
      <w:pPr>
        <w:spacing w:after="120" w:line="276" w:lineRule="auto"/>
        <w:rPr>
          <w:rFonts w:ascii="Helvetica" w:eastAsia="Helvetica" w:hAnsi="Helvetica" w:cs="Helvetica"/>
        </w:rPr>
      </w:pPr>
      <w:r w:rsidRPr="00F819AD">
        <w:fldChar w:fldCharType="begin"/>
      </w:r>
      <w:r>
        <w:instrText xml:space="preserve"> HYPERLINK "https://prosperitynow.org/files/resources/Running_in_Place_FINAL_3.2018.pdf" </w:instrText>
      </w:r>
      <w:r w:rsidRPr="00F819AD">
        <w:fldChar w:fldCharType="separate"/>
      </w:r>
      <w:r w:rsidR="00721B75" w:rsidRPr="00F819AD">
        <w:rPr>
          <w:rStyle w:val="Hyperlink"/>
          <w:rFonts w:ascii="Helvetica" w:eastAsia="Helvetica" w:hAnsi="Helvetica" w:cs="Helvetica"/>
        </w:rPr>
        <w:t>Research</w:t>
      </w:r>
      <w:r w:rsidRPr="00F819AD">
        <w:fldChar w:fldCharType="end"/>
      </w:r>
      <w:r w:rsidR="00721B75" w:rsidRPr="00F819AD">
        <w:rPr>
          <w:rFonts w:ascii="Helvetica" w:eastAsia="Helvetica" w:hAnsi="Helvetica" w:cs="Helvetica"/>
        </w:rPr>
        <w:t xml:space="preserve"> points to the role of federal policies as the historical drivers of racial wealth inequality, arguing that, “</w:t>
      </w:r>
      <w:r w:rsidR="00721B75" w:rsidRPr="00F819AD">
        <w:rPr>
          <w:rFonts w:ascii="Helvetica" w:eastAsia="Helvetica" w:hAnsi="Helvetica" w:cs="Helvetica"/>
          <w:bCs/>
          <w:iCs/>
        </w:rPr>
        <w:t>the racial wealth divide is the natural byproduct of an endless series of policy choices that have boosted the ability of White Americans to build long-term wealth, while blocking communities of color from doing the same</w:t>
      </w:r>
      <w:r w:rsidR="00721B75" w:rsidRPr="00F819AD">
        <w:rPr>
          <w:rFonts w:ascii="Helvetica" w:eastAsia="Helvetica" w:hAnsi="Helvetica" w:cs="Helvetica"/>
        </w:rPr>
        <w:t>.</w:t>
      </w:r>
      <w:bookmarkEnd w:id="2"/>
      <w:r w:rsidR="00AF283E" w:rsidRPr="00F819AD">
        <w:rPr>
          <w:rFonts w:ascii="Helvetica" w:eastAsia="Helvetica" w:hAnsi="Helvetica" w:cs="Helvetica"/>
        </w:rPr>
        <w:t>”</w:t>
      </w:r>
      <w:r w:rsidR="00B95066" w:rsidRPr="00F819AD">
        <w:rPr>
          <w:rStyle w:val="FootnoteReference"/>
          <w:rFonts w:ascii="Helvetica" w:eastAsia="Helvetica" w:hAnsi="Helvetica" w:cs="Helvetica"/>
        </w:rPr>
        <w:footnoteReference w:id="18"/>
      </w:r>
      <w:r w:rsidR="00721B75" w:rsidRPr="00F819AD">
        <w:rPr>
          <w:rFonts w:ascii="Helvetica" w:eastAsia="Helvetica" w:hAnsi="Helvetica" w:cs="Helvetica"/>
        </w:rPr>
        <w:t xml:space="preserve"> Figure </w:t>
      </w:r>
      <w:r w:rsidR="003F258F" w:rsidRPr="00F819AD">
        <w:rPr>
          <w:rFonts w:ascii="Helvetica" w:eastAsia="Helvetica" w:hAnsi="Helvetica" w:cs="Helvetica"/>
        </w:rPr>
        <w:t xml:space="preserve">8 </w:t>
      </w:r>
      <w:r w:rsidR="00721B75" w:rsidRPr="00F819AD">
        <w:rPr>
          <w:rFonts w:ascii="Helvetica" w:eastAsia="Helvetica" w:hAnsi="Helvetica" w:cs="Helvetica"/>
        </w:rPr>
        <w:t xml:space="preserve">depicts some of the major policies dating back to the Civil War era that laid the structural foundation for the racial wealth disparities present today. </w:t>
      </w:r>
    </w:p>
    <w:p w14:paraId="4C21C980" w14:textId="1B410494" w:rsidR="008D6FCA" w:rsidRPr="00F6022F" w:rsidRDefault="00CE539B" w:rsidP="00F819AD">
      <w:pPr>
        <w:keepNext/>
        <w:spacing w:after="120" w:line="276" w:lineRule="auto"/>
        <w:jc w:val="center"/>
        <w:rPr>
          <w:rFonts w:ascii="Helvetica" w:hAnsi="Helvetica" w:cs="Helvetica"/>
        </w:rPr>
      </w:pPr>
      <w:r w:rsidRPr="00CE539B">
        <w:rPr>
          <w:rFonts w:ascii="Helvetica" w:hAnsi="Helvetica" w:cs="Helvetica"/>
          <w:noProof/>
        </w:rPr>
        <w:lastRenderedPageBreak/>
        <w:drawing>
          <wp:inline distT="0" distB="0" distL="0" distR="0" wp14:anchorId="511E6E1D" wp14:editId="3EDB3C67">
            <wp:extent cx="5943600" cy="4814570"/>
            <wp:effectExtent l="0" t="0" r="0" b="24130"/>
            <wp:docPr id="15" name="Diagram 15">
              <a:extLst xmlns:a="http://schemas.openxmlformats.org/drawingml/2006/main">
                <a:ext uri="{FF2B5EF4-FFF2-40B4-BE49-F238E27FC236}">
                  <a16:creationId xmlns:a16="http://schemas.microsoft.com/office/drawing/2014/main" id="{A1AA270A-D069-413B-A2EA-454646B7902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F60FCD7" w14:textId="28596A00" w:rsidR="00721B75" w:rsidRPr="00F819AD" w:rsidRDefault="008D6FCA" w:rsidP="00F819AD">
      <w:pPr>
        <w:pStyle w:val="Caption"/>
        <w:spacing w:after="120"/>
        <w:jc w:val="center"/>
        <w:rPr>
          <w:rFonts w:ascii="Helvetica" w:eastAsia="Helvetica" w:hAnsi="Helvetica" w:cs="Helvetica"/>
          <w:color w:val="000000" w:themeColor="text1"/>
        </w:rPr>
      </w:pPr>
      <w:r w:rsidRPr="00F819AD">
        <w:rPr>
          <w:rFonts w:ascii="Helvetica" w:eastAsia="Helvetica" w:hAnsi="Helvetica" w:cs="Helvetica"/>
          <w:color w:val="000000" w:themeColor="text1"/>
          <w:sz w:val="22"/>
          <w:szCs w:val="22"/>
        </w:rPr>
        <w:t xml:space="preserve">Figure </w:t>
      </w:r>
      <w:r w:rsidR="003F258F" w:rsidRPr="00F819AD">
        <w:rPr>
          <w:rFonts w:ascii="Helvetica" w:eastAsia="Helvetica" w:hAnsi="Helvetica" w:cs="Helvetica"/>
          <w:color w:val="000000" w:themeColor="text1"/>
          <w:sz w:val="22"/>
          <w:szCs w:val="22"/>
        </w:rPr>
        <w:t>8</w:t>
      </w:r>
      <w:r w:rsidR="00CE539B" w:rsidRPr="00F819AD">
        <w:rPr>
          <w:rStyle w:val="FootnoteReference"/>
          <w:rFonts w:ascii="Helvetica" w:eastAsia="Helvetica" w:hAnsi="Helvetica" w:cs="Helvetica"/>
          <w:color w:val="000000" w:themeColor="text1"/>
          <w:sz w:val="22"/>
          <w:szCs w:val="22"/>
        </w:rPr>
        <w:footnoteReference w:id="19"/>
      </w:r>
      <w:r w:rsidR="00CE539B" w:rsidRPr="00F819AD">
        <w:rPr>
          <w:rFonts w:ascii="Helvetica" w:eastAsia="Helvetica" w:hAnsi="Helvetica" w:cs="Helvetica"/>
          <w:color w:val="000000" w:themeColor="text1"/>
          <w:sz w:val="22"/>
          <w:szCs w:val="22"/>
        </w:rPr>
        <w:t xml:space="preserve"> </w:t>
      </w:r>
      <w:r w:rsidR="00CE539B" w:rsidRPr="00F819AD">
        <w:rPr>
          <w:rStyle w:val="FootnoteReference"/>
          <w:rFonts w:ascii="Helvetica" w:eastAsia="Helvetica" w:hAnsi="Helvetica" w:cs="Helvetica"/>
          <w:color w:val="000000" w:themeColor="text1"/>
          <w:sz w:val="22"/>
          <w:szCs w:val="22"/>
        </w:rPr>
        <w:footnoteReference w:id="20"/>
      </w:r>
      <w:r w:rsidR="00CE539B" w:rsidRPr="00F819AD">
        <w:rPr>
          <w:rFonts w:ascii="Helvetica" w:eastAsia="Helvetica" w:hAnsi="Helvetica" w:cs="Helvetica"/>
          <w:color w:val="000000" w:themeColor="text1"/>
          <w:sz w:val="22"/>
          <w:szCs w:val="22"/>
        </w:rPr>
        <w:t xml:space="preserve"> </w:t>
      </w:r>
      <w:r w:rsidR="00CE539B" w:rsidRPr="00F819AD">
        <w:rPr>
          <w:rStyle w:val="FootnoteReference"/>
          <w:rFonts w:ascii="Helvetica" w:eastAsia="Helvetica" w:hAnsi="Helvetica" w:cs="Helvetica"/>
          <w:color w:val="000000" w:themeColor="text1"/>
          <w:sz w:val="22"/>
          <w:szCs w:val="22"/>
        </w:rPr>
        <w:footnoteReference w:id="21"/>
      </w:r>
    </w:p>
    <w:p w14:paraId="7CA20A93" w14:textId="77777777" w:rsidR="00CE539B" w:rsidRDefault="00CE539B" w:rsidP="00F819AD">
      <w:pPr>
        <w:spacing w:after="120" w:line="276" w:lineRule="auto"/>
        <w:rPr>
          <w:rFonts w:ascii="Helvetica" w:eastAsia="Helvetica" w:hAnsi="Helvetica" w:cs="Helvetica"/>
          <w:b/>
          <w:sz w:val="28"/>
          <w:szCs w:val="28"/>
        </w:rPr>
      </w:pPr>
    </w:p>
    <w:p w14:paraId="20083365" w14:textId="21EF83DA" w:rsidR="00721B75" w:rsidRPr="00F819AD" w:rsidRDefault="00721B75" w:rsidP="00F819AD">
      <w:pPr>
        <w:spacing w:after="120" w:line="276" w:lineRule="auto"/>
        <w:rPr>
          <w:rFonts w:ascii="Helvetica" w:eastAsia="Helvetica" w:hAnsi="Helvetica" w:cs="Helvetica"/>
          <w:b/>
          <w:sz w:val="28"/>
          <w:szCs w:val="28"/>
        </w:rPr>
      </w:pPr>
      <w:r w:rsidRPr="00F819AD">
        <w:rPr>
          <w:rFonts w:ascii="Helvetica" w:eastAsia="Helvetica" w:hAnsi="Helvetica" w:cs="Helvetica"/>
          <w:b/>
          <w:bCs/>
          <w:sz w:val="28"/>
          <w:szCs w:val="28"/>
        </w:rPr>
        <w:t>New Deal Era Housing Policy</w:t>
      </w:r>
    </w:p>
    <w:p w14:paraId="75A8615C" w14:textId="511CDE17" w:rsidR="00721B75" w:rsidRPr="00F819AD" w:rsidRDefault="304F8138" w:rsidP="00F819AD">
      <w:pPr>
        <w:spacing w:after="120" w:line="276" w:lineRule="auto"/>
        <w:rPr>
          <w:rFonts w:ascii="Helvetica" w:eastAsia="Helvetica" w:hAnsi="Helvetica" w:cs="Helvetica"/>
          <w:b/>
          <w:bCs/>
          <w:sz w:val="28"/>
          <w:szCs w:val="28"/>
        </w:rPr>
      </w:pPr>
      <w:r w:rsidRPr="00F819AD">
        <w:rPr>
          <w:rFonts w:ascii="Helvetica" w:eastAsia="Helvetica" w:hAnsi="Helvetica" w:cs="Helvetica"/>
        </w:rPr>
        <w:t xml:space="preserve">The racial wealth gap of today has its roots in centuries of economic exploitation on the part of wealthy, white colonists. Beginning with the forced removal of Native Americans from their land and then the enslavement of African Americans to work the land for cash crops, the foundation of wealth inequality between whites and people of color was built before the nation's founding. </w:t>
      </w:r>
      <w:r w:rsidR="00247284">
        <w:rPr>
          <w:rFonts w:ascii="Helvetica" w:eastAsia="Helvetica" w:hAnsi="Helvetica" w:cs="Helvetica"/>
        </w:rPr>
        <w:lastRenderedPageBreak/>
        <w:t>In addition,</w:t>
      </w:r>
      <w:r w:rsidRPr="00F819AD">
        <w:rPr>
          <w:rFonts w:ascii="Helvetica" w:eastAsia="Helvetica" w:hAnsi="Helvetica" w:cs="Helvetica"/>
        </w:rPr>
        <w:t xml:space="preserve"> </w:t>
      </w:r>
      <w:hyperlink r:id="rId32" w:history="1">
        <w:r w:rsidRPr="00F819AD">
          <w:rPr>
            <w:rStyle w:val="Hyperlink"/>
            <w:rFonts w:ascii="Helvetica" w:eastAsia="Helvetica" w:hAnsi="Helvetica" w:cs="Helvetica"/>
          </w:rPr>
          <w:t>federal housing policies</w:t>
        </w:r>
      </w:hyperlink>
      <w:r w:rsidRPr="00F819AD">
        <w:rPr>
          <w:rFonts w:ascii="Helvetica" w:eastAsia="Helvetica" w:hAnsi="Helvetica" w:cs="Helvetica"/>
        </w:rPr>
        <w:t xml:space="preserve"> of the 1930s New Deal Era profoundly impacted disparities in wealth building</w:t>
      </w:r>
      <w:r w:rsidR="00873CF7">
        <w:rPr>
          <w:rFonts w:ascii="Helvetica" w:eastAsia="Helvetica" w:hAnsi="Helvetica" w:cs="Helvetica"/>
        </w:rPr>
        <w:t xml:space="preserve"> </w:t>
      </w:r>
      <w:r w:rsidR="00721B75" w:rsidRPr="00F819AD">
        <w:rPr>
          <w:rFonts w:ascii="Helvetica" w:eastAsia="Helvetica" w:hAnsi="Helvetica" w:cs="Helvetica"/>
        </w:rPr>
        <w:t xml:space="preserve">opportunities through homeownership and thus economic mobility for </w:t>
      </w:r>
      <w:r w:rsidR="004C46BB">
        <w:rPr>
          <w:rFonts w:ascii="Helvetica" w:eastAsia="Helvetica" w:hAnsi="Helvetica" w:cs="Helvetica"/>
        </w:rPr>
        <w:t xml:space="preserve">White </w:t>
      </w:r>
      <w:r w:rsidR="00721B75" w:rsidRPr="00F819AD">
        <w:rPr>
          <w:rFonts w:ascii="Helvetica" w:eastAsia="Helvetica" w:hAnsi="Helvetica" w:cs="Helvetica"/>
        </w:rPr>
        <w:t>Americans in the 20</w:t>
      </w:r>
      <w:r w:rsidR="00721B75" w:rsidRPr="00F819AD">
        <w:rPr>
          <w:rFonts w:ascii="Helvetica" w:eastAsia="Helvetica" w:hAnsi="Helvetica" w:cs="Helvetica"/>
          <w:vertAlign w:val="superscript"/>
        </w:rPr>
        <w:t>th</w:t>
      </w:r>
      <w:r w:rsidR="00721B75" w:rsidRPr="00F819AD">
        <w:rPr>
          <w:rFonts w:ascii="Helvetica" w:eastAsia="Helvetica" w:hAnsi="Helvetica" w:cs="Helvetica"/>
        </w:rPr>
        <w:t xml:space="preserve"> century.</w:t>
      </w:r>
      <w:r w:rsidR="00721B75" w:rsidRPr="00F819AD">
        <w:rPr>
          <w:rStyle w:val="FootnoteReference"/>
          <w:rFonts w:ascii="Helvetica" w:eastAsia="Helvetica" w:hAnsi="Helvetica" w:cs="Helvetica"/>
        </w:rPr>
        <w:footnoteReference w:id="22"/>
      </w:r>
      <w:r w:rsidR="00721B75" w:rsidRPr="00F819AD">
        <w:rPr>
          <w:rFonts w:ascii="Helvetica" w:eastAsia="Helvetica" w:hAnsi="Helvetica" w:cs="Helvetica"/>
        </w:rPr>
        <w:t xml:space="preserve"> Concurrently, these policies effectively enabled racial housing segregation through discriminatory practices in homeownership financing under the Federal Housing Administration </w:t>
      </w:r>
      <w:r w:rsidR="00A254CC">
        <w:rPr>
          <w:rFonts w:ascii="Helvetica" w:eastAsia="Helvetica" w:hAnsi="Helvetica" w:cs="Helvetica"/>
        </w:rPr>
        <w:t xml:space="preserve">(FHA) </w:t>
      </w:r>
      <w:r w:rsidR="00721B75" w:rsidRPr="00F819AD">
        <w:rPr>
          <w:rFonts w:ascii="Helvetica" w:eastAsia="Helvetica" w:hAnsi="Helvetica" w:cs="Helvetica"/>
        </w:rPr>
        <w:t xml:space="preserve">and Department of Veterans Affairs. </w:t>
      </w:r>
    </w:p>
    <w:p w14:paraId="4BF2CBC9" w14:textId="2D3A5DC2" w:rsidR="00A254CC" w:rsidRDefault="00721B75" w:rsidP="00F819AD">
      <w:pPr>
        <w:spacing w:after="120" w:line="276" w:lineRule="auto"/>
        <w:rPr>
          <w:rFonts w:ascii="Helvetica" w:eastAsia="Helvetica" w:hAnsi="Helvetica" w:cs="Helvetica"/>
        </w:rPr>
      </w:pPr>
      <w:r w:rsidRPr="00F819AD">
        <w:rPr>
          <w:rFonts w:ascii="Helvetica" w:eastAsia="Helvetica" w:hAnsi="Helvetica" w:cs="Helvetica"/>
        </w:rPr>
        <w:t>Even though racial segregation in housing was outlawed in a 1948 Supreme Court case,</w:t>
      </w:r>
      <w:r w:rsidRPr="00F819AD">
        <w:rPr>
          <w:rStyle w:val="FootnoteReference"/>
          <w:rFonts w:ascii="Helvetica" w:eastAsia="Helvetica" w:hAnsi="Helvetica" w:cs="Helvetica"/>
        </w:rPr>
        <w:footnoteReference w:id="23"/>
      </w:r>
      <w:r w:rsidRPr="00F819AD">
        <w:rPr>
          <w:rFonts w:ascii="Helvetica" w:eastAsia="Helvetica" w:hAnsi="Helvetica" w:cs="Helvetica"/>
        </w:rPr>
        <w:t xml:space="preserve"> the federal government still allowed localities across the country to prevent racial minorities from moving into </w:t>
      </w:r>
      <w:r w:rsidR="00247284">
        <w:rPr>
          <w:rFonts w:ascii="Helvetica" w:eastAsia="Helvetica" w:hAnsi="Helvetica" w:cs="Helvetica"/>
        </w:rPr>
        <w:t>w</w:t>
      </w:r>
      <w:r w:rsidRPr="00F819AD">
        <w:rPr>
          <w:rFonts w:ascii="Helvetica" w:eastAsia="Helvetica" w:hAnsi="Helvetica" w:cs="Helvetica"/>
        </w:rPr>
        <w:t xml:space="preserve">hite neighborhoods. </w:t>
      </w:r>
      <w:bookmarkStart w:id="3" w:name="_Hlk518054027"/>
      <w:r w:rsidRPr="00F819AD">
        <w:rPr>
          <w:rFonts w:ascii="Helvetica" w:eastAsia="Helvetica" w:hAnsi="Helvetica" w:cs="Helvetica"/>
        </w:rPr>
        <w:t>Practices such as blockbusting</w:t>
      </w:r>
      <w:r w:rsidR="00247284">
        <w:rPr>
          <w:rFonts w:ascii="Helvetica" w:eastAsia="Helvetica" w:hAnsi="Helvetica" w:cs="Helvetica"/>
        </w:rPr>
        <w:t>,</w:t>
      </w:r>
      <w:r w:rsidRPr="00F819AD">
        <w:rPr>
          <w:rStyle w:val="FootnoteReference"/>
          <w:rFonts w:ascii="Helvetica" w:eastAsia="Helvetica" w:hAnsi="Helvetica" w:cs="Helvetica"/>
          <w:color w:val="0563C1" w:themeColor="hyperlink"/>
          <w:u w:val="single"/>
        </w:rPr>
        <w:footnoteReference w:id="24"/>
      </w:r>
      <w:r w:rsidRPr="00F819AD">
        <w:rPr>
          <w:rFonts w:ascii="Helvetica" w:eastAsia="Helvetica" w:hAnsi="Helvetica" w:cs="Helvetica"/>
        </w:rPr>
        <w:t xml:space="preserve"> redlining</w:t>
      </w:r>
      <w:r w:rsidR="00247284">
        <w:rPr>
          <w:rFonts w:ascii="Helvetica" w:eastAsia="Helvetica" w:hAnsi="Helvetica" w:cs="Helvetica"/>
        </w:rPr>
        <w:t>,</w:t>
      </w:r>
      <w:r w:rsidRPr="00F819AD">
        <w:rPr>
          <w:rStyle w:val="FootnoteReference"/>
          <w:rFonts w:ascii="Helvetica" w:eastAsia="Helvetica" w:hAnsi="Helvetica" w:cs="Helvetica"/>
          <w:color w:val="0563C1" w:themeColor="hyperlink"/>
          <w:u w:val="single"/>
        </w:rPr>
        <w:footnoteReference w:id="25"/>
      </w:r>
      <w:r w:rsidRPr="00F819AD">
        <w:rPr>
          <w:rFonts w:ascii="Helvetica" w:eastAsia="Helvetica" w:hAnsi="Helvetica" w:cs="Helvetica"/>
        </w:rPr>
        <w:t xml:space="preserve"> and racialized zoning laws</w:t>
      </w:r>
      <w:r w:rsidRPr="00F819AD">
        <w:rPr>
          <w:rStyle w:val="FootnoteReference"/>
          <w:rFonts w:ascii="Helvetica" w:eastAsia="Helvetica" w:hAnsi="Helvetica" w:cs="Helvetica"/>
          <w:color w:val="0563C1" w:themeColor="hyperlink"/>
          <w:u w:val="single"/>
        </w:rPr>
        <w:footnoteReference w:id="26"/>
      </w:r>
      <w:r w:rsidRPr="00F819AD">
        <w:rPr>
          <w:rFonts w:ascii="Helvetica" w:eastAsia="Helvetica" w:hAnsi="Helvetica" w:cs="Helvetica"/>
        </w:rPr>
        <w:t xml:space="preserve"> created deep segregation and blocked households of color from owning their homes and receiving adequate public investment in their neighborhoods.</w:t>
      </w:r>
      <w:bookmarkEnd w:id="3"/>
      <w:r w:rsidRPr="00F819AD">
        <w:rPr>
          <w:rStyle w:val="FootnoteReference"/>
          <w:rFonts w:ascii="Helvetica" w:eastAsia="Helvetica" w:hAnsi="Helvetica" w:cs="Helvetica"/>
        </w:rPr>
        <w:footnoteReference w:id="27"/>
      </w:r>
      <w:r w:rsidRPr="00F819AD">
        <w:rPr>
          <w:rFonts w:ascii="Helvetica" w:eastAsia="Helvetica" w:hAnsi="Helvetica" w:cs="Helvetica"/>
        </w:rPr>
        <w:t xml:space="preserve"> At the same time, many white Americans </w:t>
      </w:r>
      <w:r w:rsidR="00C740EA" w:rsidRPr="00F819AD">
        <w:rPr>
          <w:rFonts w:ascii="Helvetica" w:eastAsia="Helvetica" w:hAnsi="Helvetica" w:cs="Helvetica"/>
        </w:rPr>
        <w:t>could</w:t>
      </w:r>
      <w:r w:rsidRPr="00F819AD">
        <w:rPr>
          <w:rFonts w:ascii="Helvetica" w:eastAsia="Helvetica" w:hAnsi="Helvetica" w:cs="Helvetica"/>
        </w:rPr>
        <w:t xml:space="preserve"> buy homes in high opportunity suburbs with support from the federal government in the form of low interest FHA loans. These segregationist policies have </w:t>
      </w:r>
      <w:r w:rsidR="00247284">
        <w:rPr>
          <w:rFonts w:ascii="Helvetica" w:eastAsia="Helvetica" w:hAnsi="Helvetica" w:cs="Helvetica"/>
        </w:rPr>
        <w:t xml:space="preserve">had </w:t>
      </w:r>
      <w:r w:rsidRPr="00F819AD">
        <w:rPr>
          <w:rFonts w:ascii="Helvetica" w:eastAsia="Helvetica" w:hAnsi="Helvetica" w:cs="Helvetica"/>
        </w:rPr>
        <w:t>decades</w:t>
      </w:r>
      <w:r w:rsidR="00247284">
        <w:rPr>
          <w:rFonts w:ascii="Helvetica" w:eastAsia="Helvetica" w:hAnsi="Helvetica" w:cs="Helvetica"/>
        </w:rPr>
        <w:t>-</w:t>
      </w:r>
      <w:r w:rsidRPr="00F819AD">
        <w:rPr>
          <w:rFonts w:ascii="Helvetica" w:eastAsia="Helvetica" w:hAnsi="Helvetica" w:cs="Helvetica"/>
        </w:rPr>
        <w:t>long consequences.</w:t>
      </w:r>
    </w:p>
    <w:p w14:paraId="3C80CE7D" w14:textId="6BF25D27" w:rsidR="00A254CC" w:rsidRPr="005C71B4" w:rsidRDefault="00A254CC" w:rsidP="00F819AD">
      <w:pPr>
        <w:spacing w:after="120" w:line="276" w:lineRule="auto"/>
        <w:rPr>
          <w:rFonts w:ascii="Helvetica" w:eastAsia="Helvetica" w:hAnsi="Helvetica" w:cs="Helvetica"/>
        </w:rPr>
      </w:pPr>
      <w:r w:rsidRPr="005C71B4">
        <w:rPr>
          <w:rFonts w:ascii="Helvetica" w:eastAsia="Helvetica" w:hAnsi="Helvetica" w:cs="Helvetica"/>
        </w:rPr>
        <w:t>The Fair Housing Act of 1968 officially ended discriminatory housing practices. This Act prohibited discrimination in the sale, rental, and financing of dwellings based on race, color, religion, sex, or national origin. It allowed the Department of Housing and Urban Development to play an expanded role in requiring local communities across the country to obey the law.</w:t>
      </w:r>
      <w:r w:rsidRPr="005C71B4">
        <w:rPr>
          <w:rStyle w:val="FootnoteReference"/>
          <w:rFonts w:ascii="Helvetica" w:eastAsia="Helvetica" w:hAnsi="Helvetica" w:cs="Helvetica"/>
        </w:rPr>
        <w:footnoteReference w:id="28"/>
      </w:r>
      <w:r w:rsidRPr="005C71B4">
        <w:rPr>
          <w:rFonts w:ascii="Helvetica" w:eastAsia="Helvetica" w:hAnsi="Helvetica" w:cs="Helvetica"/>
        </w:rPr>
        <w:t xml:space="preserve"> This was a significant victory in helping protect people of color from housing discrimination. Although the Fair Housing Act and other civil rights initiatives formally banned racial discrimination in housing, the new policies did not reverse the already existing racial wealth gap</w:t>
      </w:r>
      <w:r>
        <w:rPr>
          <w:rFonts w:ascii="Helvetica" w:eastAsia="Helvetica" w:hAnsi="Helvetica" w:cs="Helvetica"/>
        </w:rPr>
        <w:t xml:space="preserve"> – and in fact, segregation and racial wealth inequality have increased rather than decreased at times during our recent history</w:t>
      </w:r>
      <w:r w:rsidRPr="005C71B4">
        <w:rPr>
          <w:rFonts w:ascii="Helvetica" w:eastAsia="Helvetica" w:hAnsi="Helvetica" w:cs="Helvetica"/>
        </w:rPr>
        <w:t>.</w:t>
      </w:r>
    </w:p>
    <w:p w14:paraId="57AC050D" w14:textId="5DF64646" w:rsidR="00721B75" w:rsidRPr="00F819AD" w:rsidRDefault="00721B75" w:rsidP="00F819AD">
      <w:pPr>
        <w:spacing w:after="120" w:line="276" w:lineRule="auto"/>
        <w:rPr>
          <w:rFonts w:ascii="Helvetica" w:eastAsia="Helvetica" w:hAnsi="Helvetica" w:cs="Helvetica"/>
        </w:rPr>
      </w:pPr>
      <w:r w:rsidRPr="00F819AD">
        <w:rPr>
          <w:rFonts w:ascii="Helvetica" w:eastAsia="Helvetica" w:hAnsi="Helvetica" w:cs="Helvetica"/>
        </w:rPr>
        <w:t xml:space="preserve"> According to the Economic Policy Institute:</w:t>
      </w:r>
    </w:p>
    <w:p w14:paraId="7D4A9CA9" w14:textId="5858E591" w:rsidR="00721B75" w:rsidRPr="00F819AD" w:rsidRDefault="00721B75" w:rsidP="00F819AD">
      <w:pPr>
        <w:pStyle w:val="ListParagraph"/>
        <w:numPr>
          <w:ilvl w:val="0"/>
          <w:numId w:val="5"/>
        </w:numPr>
        <w:spacing w:after="120" w:line="276" w:lineRule="auto"/>
        <w:contextualSpacing w:val="0"/>
        <w:rPr>
          <w:rFonts w:ascii="Helvetica" w:eastAsia="Helvetica" w:hAnsi="Helvetica" w:cs="Helvetica"/>
        </w:rPr>
      </w:pPr>
      <w:r w:rsidRPr="00F819AD">
        <w:rPr>
          <w:rFonts w:ascii="Helvetica" w:eastAsia="Helvetica" w:hAnsi="Helvetica" w:cs="Helvetica"/>
        </w:rPr>
        <w:t>Seven percent of poor Whites lived in high poverty neighborhoods (more than 40 percent of the residents are poor)</w:t>
      </w:r>
      <w:r w:rsidR="00A254CC">
        <w:rPr>
          <w:rFonts w:ascii="Helvetica" w:eastAsia="Helvetica" w:hAnsi="Helvetica" w:cs="Helvetica"/>
        </w:rPr>
        <w:t xml:space="preserve"> in 2011</w:t>
      </w:r>
      <w:r w:rsidRPr="00F819AD">
        <w:rPr>
          <w:rFonts w:ascii="Helvetica" w:eastAsia="Helvetica" w:hAnsi="Helvetica" w:cs="Helvetica"/>
        </w:rPr>
        <w:t>, up from four percent in 2000.</w:t>
      </w:r>
    </w:p>
    <w:p w14:paraId="3268F08A" w14:textId="77777777" w:rsidR="00721B75" w:rsidRPr="00F819AD" w:rsidRDefault="00721B75" w:rsidP="00F819AD">
      <w:pPr>
        <w:pStyle w:val="ListParagraph"/>
        <w:numPr>
          <w:ilvl w:val="0"/>
          <w:numId w:val="5"/>
        </w:numPr>
        <w:spacing w:after="120" w:line="276" w:lineRule="auto"/>
        <w:contextualSpacing w:val="0"/>
        <w:rPr>
          <w:rFonts w:ascii="Helvetica" w:eastAsia="Helvetica" w:hAnsi="Helvetica" w:cs="Helvetica"/>
        </w:rPr>
      </w:pPr>
      <w:r w:rsidRPr="00F819AD">
        <w:rPr>
          <w:rFonts w:ascii="Helvetica" w:eastAsia="Helvetica" w:hAnsi="Helvetica" w:cs="Helvetica"/>
        </w:rPr>
        <w:t xml:space="preserve">15 percent of poor Latinos lived in high poverty neighborhoods in 2011, up from 14 percent in 2000 </w:t>
      </w:r>
    </w:p>
    <w:p w14:paraId="7EE09C65" w14:textId="18E8DB80" w:rsidR="00721B75" w:rsidRPr="00F819AD" w:rsidRDefault="00721B75" w:rsidP="00F819AD">
      <w:pPr>
        <w:pStyle w:val="ListParagraph"/>
        <w:numPr>
          <w:ilvl w:val="0"/>
          <w:numId w:val="5"/>
        </w:numPr>
        <w:spacing w:after="120" w:line="276" w:lineRule="auto"/>
        <w:contextualSpacing w:val="0"/>
        <w:rPr>
          <w:rFonts w:ascii="Helvetica" w:eastAsia="Helvetica" w:hAnsi="Helvetica" w:cs="Helvetica"/>
        </w:rPr>
      </w:pPr>
      <w:r w:rsidRPr="00F819AD">
        <w:rPr>
          <w:rFonts w:ascii="Helvetica" w:eastAsia="Helvetica" w:hAnsi="Helvetica" w:cs="Helvetica"/>
        </w:rPr>
        <w:lastRenderedPageBreak/>
        <w:t xml:space="preserve">23 percent of poor </w:t>
      </w:r>
      <w:r w:rsidR="00675317">
        <w:rPr>
          <w:rFonts w:ascii="Helvetica" w:eastAsia="Helvetica" w:hAnsi="Helvetica" w:cs="Helvetica"/>
        </w:rPr>
        <w:t>African American</w:t>
      </w:r>
      <w:r w:rsidRPr="00F819AD">
        <w:rPr>
          <w:rFonts w:ascii="Helvetica" w:eastAsia="Helvetica" w:hAnsi="Helvetica" w:cs="Helvetica"/>
        </w:rPr>
        <w:t>s lived in high poverty neighborhoods in 2011, up from 19 percent in 2000.</w:t>
      </w:r>
      <w:r w:rsidRPr="00F819AD">
        <w:rPr>
          <w:rStyle w:val="FootnoteReference"/>
          <w:rFonts w:ascii="Helvetica" w:eastAsia="Helvetica" w:hAnsi="Helvetica" w:cs="Helvetica"/>
        </w:rPr>
        <w:footnoteReference w:id="29"/>
      </w:r>
      <w:r w:rsidRPr="00F819AD">
        <w:rPr>
          <w:rFonts w:ascii="Helvetica" w:eastAsia="Helvetica" w:hAnsi="Helvetica" w:cs="Helvetica"/>
        </w:rPr>
        <w:t xml:space="preserve"> </w:t>
      </w:r>
    </w:p>
    <w:p w14:paraId="09DCCCB9" w14:textId="77777777" w:rsidR="00721B75" w:rsidRPr="00F819AD" w:rsidRDefault="00721B75" w:rsidP="00F819AD">
      <w:pPr>
        <w:spacing w:after="240" w:line="276" w:lineRule="auto"/>
        <w:rPr>
          <w:rFonts w:ascii="Helvetica" w:eastAsia="Helvetica" w:hAnsi="Helvetica" w:cs="Helvetica"/>
        </w:rPr>
      </w:pPr>
      <w:r w:rsidRPr="00F819AD">
        <w:rPr>
          <w:rFonts w:ascii="Helvetica" w:eastAsia="Helvetica" w:hAnsi="Helvetica" w:cs="Helvetica"/>
        </w:rPr>
        <w:t>Living in concentrated poverty not only severely decreases a family’s chance to afford their own home, houses decrease in value in high poverty neighborhoods, making it hard to for those who can afford a home to build or maintain wealth.</w:t>
      </w:r>
    </w:p>
    <w:p w14:paraId="70D8D096" w14:textId="77777777" w:rsidR="00721B75" w:rsidRPr="00F819AD" w:rsidRDefault="00721B75" w:rsidP="00F819AD">
      <w:pPr>
        <w:spacing w:after="120" w:line="276" w:lineRule="auto"/>
        <w:rPr>
          <w:rFonts w:ascii="Helvetica" w:eastAsia="Helvetica" w:hAnsi="Helvetica" w:cs="Helvetica"/>
          <w:b/>
          <w:sz w:val="28"/>
          <w:szCs w:val="28"/>
        </w:rPr>
      </w:pPr>
      <w:r w:rsidRPr="00F819AD">
        <w:rPr>
          <w:rFonts w:ascii="Helvetica" w:eastAsia="Helvetica" w:hAnsi="Helvetica" w:cs="Helvetica"/>
          <w:b/>
          <w:sz w:val="28"/>
          <w:szCs w:val="28"/>
        </w:rPr>
        <w:t xml:space="preserve">The Racial Equity Impact of Policies in Employment, Education and Mass Incarceration </w:t>
      </w:r>
    </w:p>
    <w:p w14:paraId="110F6F09" w14:textId="2C6AD209" w:rsidR="00721B75" w:rsidRPr="00F819AD" w:rsidRDefault="00721B75" w:rsidP="00F819AD">
      <w:pPr>
        <w:spacing w:after="120" w:line="276" w:lineRule="auto"/>
        <w:rPr>
          <w:rFonts w:ascii="Helvetica" w:eastAsia="Helvetica" w:hAnsi="Helvetica" w:cs="Helvetica"/>
        </w:rPr>
      </w:pPr>
      <w:r w:rsidRPr="00F819AD">
        <w:rPr>
          <w:rFonts w:ascii="Helvetica" w:eastAsia="Helvetica" w:hAnsi="Helvetica" w:cs="Helvetica"/>
        </w:rPr>
        <w:t>Along with housing segregation, employment discrimination, educational inequities</w:t>
      </w:r>
      <w:r w:rsidR="00A254CC">
        <w:rPr>
          <w:rFonts w:ascii="Helvetica" w:eastAsia="Helvetica" w:hAnsi="Helvetica" w:cs="Helvetica"/>
        </w:rPr>
        <w:t>,</w:t>
      </w:r>
      <w:r w:rsidRPr="00F819AD">
        <w:rPr>
          <w:rFonts w:ascii="Helvetica" w:eastAsia="Helvetica" w:hAnsi="Helvetica" w:cs="Helvetica"/>
        </w:rPr>
        <w:t xml:space="preserve"> and the criminal justice system have all contributed to the racial wealth inequities in the US, particularly between black and white Americans.</w:t>
      </w:r>
      <w:r w:rsidRPr="00F819AD">
        <w:rPr>
          <w:rStyle w:val="FootnoteReference"/>
          <w:rFonts w:ascii="Helvetica" w:eastAsia="Helvetica" w:hAnsi="Helvetica" w:cs="Helvetica"/>
        </w:rPr>
        <w:footnoteReference w:id="30"/>
      </w:r>
      <w:r w:rsidRPr="00F819AD">
        <w:rPr>
          <w:rFonts w:ascii="Helvetica" w:eastAsia="Helvetica" w:hAnsi="Helvetica" w:cs="Helvetica"/>
        </w:rPr>
        <w:t xml:space="preserve"> When first enacted, </w:t>
      </w:r>
      <w:bookmarkStart w:id="7" w:name="_Hlk518054415"/>
      <w:r w:rsidRPr="00F819AD">
        <w:rPr>
          <w:rFonts w:ascii="Helvetica" w:eastAsia="Helvetica" w:hAnsi="Helvetica" w:cs="Helvetica"/>
        </w:rPr>
        <w:t xml:space="preserve">the Social Security Act of 1935 excluded certain domestic workers and farmers from participating in the program. Because these professions were primarily employed by </w:t>
      </w:r>
      <w:r w:rsidR="00675317">
        <w:rPr>
          <w:rFonts w:ascii="Helvetica" w:eastAsia="Helvetica" w:hAnsi="Helvetica" w:cs="Helvetica"/>
        </w:rPr>
        <w:t xml:space="preserve">African </w:t>
      </w:r>
      <w:r w:rsidRPr="00F819AD">
        <w:rPr>
          <w:rFonts w:ascii="Helvetica" w:eastAsia="Helvetica" w:hAnsi="Helvetica" w:cs="Helvetica"/>
        </w:rPr>
        <w:t xml:space="preserve">Americans, this exclusion had the effect of excluding 65 percent of </w:t>
      </w:r>
      <w:r w:rsidR="00675317">
        <w:rPr>
          <w:rFonts w:ascii="Helvetica" w:eastAsia="Helvetica" w:hAnsi="Helvetica" w:cs="Helvetica"/>
        </w:rPr>
        <w:t>African American</w:t>
      </w:r>
      <w:r w:rsidRPr="00F819AD">
        <w:rPr>
          <w:rFonts w:ascii="Helvetica" w:eastAsia="Helvetica" w:hAnsi="Helvetica" w:cs="Helvetica"/>
        </w:rPr>
        <w:t xml:space="preserve"> workers from Social Security</w:t>
      </w:r>
      <w:bookmarkEnd w:id="7"/>
      <w:r w:rsidRPr="00F819AD">
        <w:rPr>
          <w:rFonts w:ascii="Helvetica" w:eastAsia="Helvetica" w:hAnsi="Helvetica" w:cs="Helvetica"/>
        </w:rPr>
        <w:t xml:space="preserve">. </w:t>
      </w:r>
      <w:r w:rsidR="52AF5865" w:rsidRPr="00F819AD">
        <w:rPr>
          <w:rFonts w:ascii="Helvetica" w:eastAsia="Helvetica" w:hAnsi="Helvetica" w:cs="Helvetica"/>
        </w:rPr>
        <w:t xml:space="preserve">The law was not changed to include these workers until 1954, almost two decades later. </w:t>
      </w:r>
      <w:bookmarkStart w:id="8" w:name="_Hlk518054439"/>
      <w:r w:rsidR="0866B432" w:rsidRPr="00F819AD">
        <w:rPr>
          <w:rFonts w:ascii="Helvetica" w:eastAsia="Helvetica" w:hAnsi="Helvetica" w:cs="Helvetica"/>
        </w:rPr>
        <w:t>S</w:t>
      </w:r>
      <w:r w:rsidR="6CCD0C7C" w:rsidRPr="00F819AD">
        <w:rPr>
          <w:rFonts w:ascii="Helvetica" w:eastAsia="Helvetica" w:hAnsi="Helvetica" w:cs="Helvetica"/>
        </w:rPr>
        <w:t xml:space="preserve">imilarly, the Fair Labors Standards Act of </w:t>
      </w:r>
      <w:r w:rsidR="31E87F94" w:rsidRPr="00F819AD">
        <w:rPr>
          <w:rFonts w:ascii="Helvetica" w:eastAsia="Helvetica" w:hAnsi="Helvetica" w:cs="Helvetica"/>
        </w:rPr>
        <w:t xml:space="preserve">1938 which established the </w:t>
      </w:r>
      <w:r w:rsidR="573AB603" w:rsidRPr="00F819AD">
        <w:rPr>
          <w:rFonts w:ascii="Helvetica" w:eastAsia="Helvetica" w:hAnsi="Helvetica" w:cs="Helvetica"/>
        </w:rPr>
        <w:t>forty-hour w</w:t>
      </w:r>
      <w:r w:rsidR="31E87F94" w:rsidRPr="00F819AD">
        <w:rPr>
          <w:rFonts w:ascii="Helvetica" w:eastAsia="Helvetica" w:hAnsi="Helvetica" w:cs="Helvetica"/>
        </w:rPr>
        <w:t xml:space="preserve">ork week and the federal minimum wage excluded </w:t>
      </w:r>
      <w:r w:rsidR="00C740EA">
        <w:rPr>
          <w:rFonts w:ascii="Helvetica" w:eastAsia="Helvetica" w:hAnsi="Helvetica" w:cs="Helvetica"/>
        </w:rPr>
        <w:t>many</w:t>
      </w:r>
      <w:r w:rsidR="00FC7A99">
        <w:rPr>
          <w:rFonts w:ascii="Helvetica" w:eastAsia="Helvetica" w:hAnsi="Helvetica" w:cs="Helvetica"/>
        </w:rPr>
        <w:t xml:space="preserve"> tip-based professions such as servers and shoe shiners which were predominantly held by </w:t>
      </w:r>
      <w:r w:rsidR="00675317">
        <w:rPr>
          <w:rFonts w:ascii="Helvetica" w:eastAsia="Helvetica" w:hAnsi="Helvetica" w:cs="Helvetica"/>
        </w:rPr>
        <w:t>African American</w:t>
      </w:r>
      <w:r w:rsidR="00FC7A99">
        <w:rPr>
          <w:rFonts w:ascii="Helvetica" w:eastAsia="Helvetica" w:hAnsi="Helvetica" w:cs="Helvetica"/>
        </w:rPr>
        <w:t xml:space="preserve"> workers.</w:t>
      </w:r>
      <w:bookmarkEnd w:id="8"/>
      <w:r w:rsidR="00FC7A99">
        <w:rPr>
          <w:rFonts w:ascii="Helvetica" w:eastAsia="Helvetica" w:hAnsi="Helvetica" w:cs="Helvetica"/>
          <w:vertAlign w:val="superscript"/>
        </w:rPr>
        <w:t>30</w:t>
      </w:r>
      <w:r w:rsidR="00FC7A99">
        <w:rPr>
          <w:rFonts w:ascii="Helvetica" w:eastAsia="Helvetica" w:hAnsi="Helvetica" w:cs="Helvetica"/>
        </w:rPr>
        <w:t xml:space="preserve"> </w:t>
      </w:r>
      <w:r w:rsidR="31E87F94" w:rsidRPr="00F819AD">
        <w:rPr>
          <w:rFonts w:ascii="Helvetica" w:eastAsia="Helvetica" w:hAnsi="Helvetica" w:cs="Helvetica"/>
        </w:rPr>
        <w:t xml:space="preserve"> </w:t>
      </w:r>
    </w:p>
    <w:p w14:paraId="125D552E" w14:textId="1A920404" w:rsidR="00721B75" w:rsidRPr="00F819AD" w:rsidRDefault="00721B75" w:rsidP="00F819AD">
      <w:pPr>
        <w:spacing w:after="120" w:line="276" w:lineRule="auto"/>
        <w:rPr>
          <w:rFonts w:ascii="Helvetica" w:eastAsia="Helvetica" w:hAnsi="Helvetica" w:cs="Helvetica"/>
        </w:rPr>
      </w:pPr>
      <w:r w:rsidRPr="00F819AD">
        <w:rPr>
          <w:rFonts w:ascii="Helvetica" w:eastAsia="Helvetica" w:hAnsi="Helvetica" w:cs="Helvetica"/>
        </w:rPr>
        <w:t>The G.I. bill signified an important time in which the federal government invested in providing affordable education and housing to World War II veterans and their families.</w:t>
      </w:r>
      <w:r w:rsidRPr="00F819AD">
        <w:rPr>
          <w:rStyle w:val="FootnoteReference"/>
          <w:rFonts w:ascii="Helvetica" w:eastAsia="Helvetica" w:hAnsi="Helvetica" w:cs="Helvetica"/>
        </w:rPr>
        <w:footnoteReference w:id="31"/>
      </w:r>
      <w:r w:rsidRPr="00F819AD">
        <w:rPr>
          <w:rFonts w:ascii="Helvetica" w:eastAsia="Helvetica" w:hAnsi="Helvetica" w:cs="Helvetica"/>
        </w:rPr>
        <w:t xml:space="preserve"> This bill is largely credited for the creation of the American middle class. However, because of Jim Crow</w:t>
      </w:r>
      <w:r w:rsidR="00BA34CE" w:rsidRPr="009546A3">
        <w:rPr>
          <w:rStyle w:val="FootnoteReference"/>
          <w:rFonts w:ascii="Helvetica" w:eastAsia="Helvetica" w:hAnsi="Helvetica" w:cs="Helvetica"/>
          <w:color w:val="0563C1" w:themeColor="hyperlink"/>
          <w:u w:val="single"/>
        </w:rPr>
        <w:footnoteReference w:id="32"/>
      </w:r>
      <w:r w:rsidRPr="00F819AD">
        <w:rPr>
          <w:rFonts w:ascii="Helvetica" w:eastAsia="Helvetica" w:hAnsi="Helvetica" w:cs="Helvetica"/>
        </w:rPr>
        <w:t xml:space="preserve"> and other racist policies, veterans of color were not afforded the same opportunity. If a</w:t>
      </w:r>
      <w:r w:rsidR="00675317">
        <w:rPr>
          <w:rFonts w:ascii="Helvetica" w:eastAsia="Helvetica" w:hAnsi="Helvetica" w:cs="Helvetica"/>
        </w:rPr>
        <w:t>n</w:t>
      </w:r>
      <w:r w:rsidRPr="00F819AD">
        <w:rPr>
          <w:rFonts w:ascii="Helvetica" w:eastAsia="Helvetica" w:hAnsi="Helvetica" w:cs="Helvetica"/>
        </w:rPr>
        <w:t xml:space="preserve"> </w:t>
      </w:r>
      <w:r w:rsidR="00675317">
        <w:rPr>
          <w:rFonts w:ascii="Helvetica" w:eastAsia="Helvetica" w:hAnsi="Helvetica" w:cs="Helvetica"/>
        </w:rPr>
        <w:t>African American</w:t>
      </w:r>
      <w:r w:rsidRPr="00F819AD">
        <w:rPr>
          <w:rFonts w:ascii="Helvetica" w:eastAsia="Helvetica" w:hAnsi="Helvetica" w:cs="Helvetica"/>
        </w:rPr>
        <w:t xml:space="preserve"> or Native American veteran lived in an area in which Jim Crow was prevalent, then the local Veterans’ Administration could deny their benefits or relegate them to lower quality and segregated housing options. In the times in which white families were provided important opportunities for mobility and wealth accumulation, families of color were intentionally, and sometimes violently, excluded from these important federal policies.</w:t>
      </w:r>
    </w:p>
    <w:p w14:paraId="2199791D" w14:textId="0F7E69C6" w:rsidR="00721B75" w:rsidRPr="00F819AD" w:rsidRDefault="00721B75" w:rsidP="00F819AD">
      <w:pPr>
        <w:spacing w:after="120" w:line="276" w:lineRule="auto"/>
        <w:rPr>
          <w:rFonts w:ascii="Helvetica" w:eastAsia="Helvetica" w:hAnsi="Helvetica" w:cs="Helvetica"/>
        </w:rPr>
      </w:pPr>
      <w:r w:rsidRPr="00F819AD">
        <w:rPr>
          <w:rFonts w:ascii="Helvetica" w:eastAsia="Helvetica" w:hAnsi="Helvetica" w:cs="Helvetica"/>
        </w:rPr>
        <w:t>Mass incarceration has also contributed to racial wealth inequality through the undermining of families and communities of color. The ‘War on Drugs’ policies</w:t>
      </w:r>
      <w:r w:rsidRPr="00F819AD">
        <w:rPr>
          <w:rStyle w:val="FootnoteReference"/>
          <w:rFonts w:ascii="Helvetica" w:eastAsia="Helvetica" w:hAnsi="Helvetica" w:cs="Helvetica"/>
          <w:color w:val="0563C1" w:themeColor="hyperlink"/>
          <w:u w:val="single"/>
        </w:rPr>
        <w:footnoteReference w:id="33"/>
      </w:r>
      <w:r w:rsidRPr="00F819AD">
        <w:rPr>
          <w:rFonts w:ascii="Helvetica" w:eastAsia="Helvetica" w:hAnsi="Helvetica" w:cs="Helvetica"/>
        </w:rPr>
        <w:t xml:space="preserve"> implemented and enforced under the Nixon and Regan Administrations brought about harsher sentences for drug offenses that resulted in a disproportionate share of </w:t>
      </w:r>
      <w:r w:rsidR="00675317">
        <w:rPr>
          <w:rFonts w:ascii="Helvetica" w:eastAsia="Helvetica" w:hAnsi="Helvetica" w:cs="Helvetica"/>
        </w:rPr>
        <w:t>African American</w:t>
      </w:r>
      <w:r w:rsidRPr="00F819AD">
        <w:rPr>
          <w:rFonts w:ascii="Helvetica" w:eastAsia="Helvetica" w:hAnsi="Helvetica" w:cs="Helvetica"/>
        </w:rPr>
        <w:t xml:space="preserve"> men being incarcerated. The effects of incarceration pose significant costs to building income and wealth both in the short and long term. Because </w:t>
      </w:r>
      <w:hyperlink r:id="rId33" w:history="1">
        <w:r w:rsidRPr="00F819AD">
          <w:rPr>
            <w:rStyle w:val="Hyperlink"/>
            <w:rFonts w:ascii="Helvetica" w:eastAsia="Helvetica" w:hAnsi="Helvetica" w:cs="Helvetica"/>
          </w:rPr>
          <w:t xml:space="preserve">African Americans are 10 times more likely than whites to be </w:t>
        </w:r>
        <w:r w:rsidRPr="00F819AD">
          <w:rPr>
            <w:rStyle w:val="Hyperlink"/>
            <w:rFonts w:ascii="Helvetica" w:eastAsia="Helvetica" w:hAnsi="Helvetica" w:cs="Helvetica"/>
          </w:rPr>
          <w:lastRenderedPageBreak/>
          <w:t>incarcerated</w:t>
        </w:r>
      </w:hyperlink>
      <w:r w:rsidRPr="00F819AD">
        <w:rPr>
          <w:rFonts w:ascii="Helvetica" w:eastAsia="Helvetica" w:hAnsi="Helvetica" w:cs="Helvetica"/>
        </w:rPr>
        <w:t xml:space="preserve"> for similar drug offenses, </w:t>
      </w:r>
      <w:r w:rsidR="00675317">
        <w:rPr>
          <w:rFonts w:ascii="Helvetica" w:eastAsia="Helvetica" w:hAnsi="Helvetica" w:cs="Helvetica"/>
        </w:rPr>
        <w:t>African American</w:t>
      </w:r>
      <w:r w:rsidRPr="00F819AD">
        <w:rPr>
          <w:rFonts w:ascii="Helvetica" w:eastAsia="Helvetica" w:hAnsi="Helvetica" w:cs="Helvetica"/>
        </w:rPr>
        <w:t xml:space="preserve"> families are more at risk of living in poverty when a family member or breadwinner is incarcerated. </w:t>
      </w:r>
    </w:p>
    <w:p w14:paraId="17C8183E" w14:textId="77777777" w:rsidR="00721B75" w:rsidRPr="00F819AD" w:rsidRDefault="00721B75" w:rsidP="00F819AD">
      <w:pPr>
        <w:spacing w:after="240" w:line="276" w:lineRule="auto"/>
        <w:rPr>
          <w:rFonts w:ascii="Helvetica" w:eastAsia="Helvetica" w:hAnsi="Helvetica" w:cs="Helvetica"/>
        </w:rPr>
      </w:pPr>
      <w:r w:rsidRPr="00F819AD">
        <w:rPr>
          <w:rFonts w:ascii="Helvetica" w:eastAsia="Helvetica" w:hAnsi="Helvetica" w:cs="Helvetica"/>
        </w:rPr>
        <w:t>More recently, the Great Recession negatively impacted the wealth of millions of American families;</w:t>
      </w:r>
      <w:r w:rsidRPr="00F819AD">
        <w:rPr>
          <w:rStyle w:val="FootnoteReference"/>
          <w:rFonts w:ascii="Helvetica" w:eastAsia="Helvetica" w:hAnsi="Helvetica" w:cs="Helvetica"/>
        </w:rPr>
        <w:footnoteReference w:id="34"/>
      </w:r>
      <w:r w:rsidRPr="00F819AD">
        <w:rPr>
          <w:rFonts w:ascii="Helvetica" w:eastAsia="Helvetica" w:hAnsi="Helvetica" w:cs="Helvetica"/>
        </w:rPr>
        <w:t xml:space="preserve"> however, the impact has been particularly hard on families of color. White Americans have had a huge head start in generating wealth throughout our nation’s history, while Americans of color were only given meaningful opportunities to build wealth 1-2 generations ago. Without the comparable wealth that was intentionally denied to them for so long, families of color are much more vulnerable to financial emergencies and have less opportunity to move up the economic ladder.</w:t>
      </w:r>
    </w:p>
    <w:p w14:paraId="69C4C706" w14:textId="16D96D0B" w:rsidR="00AE6432" w:rsidRPr="00F819AD" w:rsidRDefault="00AE6432" w:rsidP="00F819AD">
      <w:pPr>
        <w:pStyle w:val="paragraph"/>
        <w:spacing w:after="120" w:line="276" w:lineRule="auto"/>
        <w:textAlignment w:val="baseline"/>
        <w:rPr>
          <w:rFonts w:ascii="Arial" w:eastAsia="Arial" w:hAnsi="Arial" w:cs="Arial"/>
          <w:b/>
          <w:bCs/>
          <w:color w:val="C00000"/>
          <w:sz w:val="22"/>
          <w:szCs w:val="22"/>
        </w:rPr>
      </w:pPr>
      <w:r>
        <w:rPr>
          <w:rStyle w:val="eop"/>
          <w:rFonts w:ascii="Arial" w:eastAsia="Arial" w:hAnsi="Arial" w:cs="Arial"/>
          <w:b/>
          <w:bCs/>
          <w:color w:val="C00000"/>
          <w:sz w:val="36"/>
          <w:szCs w:val="36"/>
        </w:rPr>
        <w:t>The Racial Wealth Divide Today</w:t>
      </w:r>
    </w:p>
    <w:p w14:paraId="4FB8A62F" w14:textId="1D8CA934" w:rsidR="00561463" w:rsidRPr="00F819AD" w:rsidRDefault="000549FF" w:rsidP="00F819AD">
      <w:pPr>
        <w:spacing w:after="120" w:line="276" w:lineRule="auto"/>
        <w:rPr>
          <w:rFonts w:ascii="Helvetica,Times New Roman" w:eastAsia="Helvetica,Times New Roman" w:hAnsi="Helvetica,Times New Roman" w:cs="Helvetica,Times New Roman"/>
        </w:rPr>
      </w:pPr>
      <w:r w:rsidRPr="00F819AD">
        <w:rPr>
          <w:rFonts w:ascii="Helvetica" w:eastAsia="Helvetica" w:hAnsi="Helvetica" w:cs="Helvetica"/>
        </w:rPr>
        <w:t xml:space="preserve">Not surprisingly, the discriminatory effects of public policies enacted to support </w:t>
      </w:r>
      <w:r w:rsidR="00B95066" w:rsidRPr="00F819AD">
        <w:rPr>
          <w:rFonts w:ascii="Helvetica" w:eastAsia="Helvetica" w:hAnsi="Helvetica" w:cs="Helvetica"/>
        </w:rPr>
        <w:t xml:space="preserve">the </w:t>
      </w:r>
      <w:r w:rsidRPr="00F819AD">
        <w:rPr>
          <w:rFonts w:ascii="Helvetica" w:eastAsia="Helvetica" w:hAnsi="Helvetica" w:cs="Helvetica"/>
        </w:rPr>
        <w:t xml:space="preserve">building of white wealth while excluding people of color have </w:t>
      </w:r>
      <w:r w:rsidR="00B95066" w:rsidRPr="00F819AD">
        <w:rPr>
          <w:rFonts w:ascii="Helvetica" w:eastAsia="Helvetica" w:hAnsi="Helvetica" w:cs="Helvetica"/>
        </w:rPr>
        <w:t xml:space="preserve">given rise to </w:t>
      </w:r>
      <w:r w:rsidRPr="00F819AD">
        <w:rPr>
          <w:rFonts w:ascii="Helvetica" w:eastAsia="Helvetica" w:hAnsi="Helvetica" w:cs="Helvetica"/>
        </w:rPr>
        <w:t xml:space="preserve">massive wealth disparities along racial lines today. </w:t>
      </w:r>
      <w:r w:rsidR="00B95066" w:rsidRPr="00F819AD">
        <w:rPr>
          <w:rFonts w:ascii="Helvetica" w:eastAsia="Helvetica" w:hAnsi="Helvetica" w:cs="Helvetica"/>
        </w:rPr>
        <w:t xml:space="preserve">Further, the racial wealth divide has significantly increased in the last three decades. </w:t>
      </w:r>
      <w:r w:rsidR="00561463" w:rsidRPr="00F819AD">
        <w:rPr>
          <w:rFonts w:ascii="Helvetica" w:eastAsia="Helvetica" w:hAnsi="Helvetica" w:cs="Helvetica"/>
        </w:rPr>
        <w:t xml:space="preserve">Research from the Institute for Assets and Social Policy at Brandeis University found that in 1995 Whites had $7 for every $1 in wealth African Americans had. In 2009, only 20 years later that gap has grown to Whites having </w:t>
      </w:r>
      <w:hyperlink r:id="rId34" w:history="1">
        <w:r w:rsidR="00561463" w:rsidRPr="00F819AD">
          <w:rPr>
            <w:rStyle w:val="Hyperlink"/>
            <w:rFonts w:ascii="Helvetica" w:eastAsia="Helvetica" w:hAnsi="Helvetica" w:cs="Helvetica"/>
          </w:rPr>
          <w:t>$19 for every $1</w:t>
        </w:r>
      </w:hyperlink>
      <w:r w:rsidR="003C2A19" w:rsidRPr="00F819AD">
        <w:rPr>
          <w:rStyle w:val="FootnoteReference"/>
          <w:rFonts w:ascii="Helvetica,Times New Roman" w:eastAsia="Helvetica,Times New Roman" w:hAnsi="Helvetica,Times New Roman" w:cs="Helvetica,Times New Roman"/>
          <w:u w:val="single"/>
        </w:rPr>
        <w:footnoteReference w:id="35"/>
      </w:r>
      <w:r w:rsidR="00561463" w:rsidRPr="00F819AD">
        <w:rPr>
          <w:rFonts w:ascii="Helvetica" w:eastAsia="Helvetica" w:hAnsi="Helvetica" w:cs="Helvetica"/>
        </w:rPr>
        <w:t xml:space="preserve"> African Americans have in wealth. </w:t>
      </w:r>
      <w:r w:rsidR="00B95066">
        <w:rPr>
          <w:rFonts w:ascii="Helvetica" w:eastAsia="Helvetica" w:hAnsi="Helvetica" w:cs="Helvetica"/>
        </w:rPr>
        <w:t>Additionally, the</w:t>
      </w:r>
      <w:r w:rsidR="00561463" w:rsidRPr="00F819AD">
        <w:rPr>
          <w:rFonts w:ascii="Helvetica" w:eastAsia="Helvetica" w:hAnsi="Helvetica" w:cs="Helvetica"/>
        </w:rPr>
        <w:t xml:space="preserve"> </w:t>
      </w:r>
      <w:r w:rsidR="00592580" w:rsidRPr="00F819AD">
        <w:rPr>
          <w:rFonts w:ascii="Helvetica" w:eastAsia="Helvetica" w:hAnsi="Helvetica" w:cs="Helvetica"/>
        </w:rPr>
        <w:t>Great</w:t>
      </w:r>
      <w:r w:rsidR="00561463" w:rsidRPr="00F819AD">
        <w:rPr>
          <w:rFonts w:ascii="Helvetica,Times New Roman" w:eastAsia="Helvetica,Times New Roman" w:hAnsi="Helvetica,Times New Roman" w:cs="Helvetica,Times New Roman"/>
        </w:rPr>
        <w:t xml:space="preserve"> </w:t>
      </w:r>
      <w:r w:rsidR="00592580" w:rsidRPr="00F819AD">
        <w:rPr>
          <w:rFonts w:ascii="Helvetica" w:eastAsia="Helvetica" w:hAnsi="Helvetica" w:cs="Helvetica"/>
        </w:rPr>
        <w:t>R</w:t>
      </w:r>
      <w:r w:rsidR="00561463" w:rsidRPr="00F819AD">
        <w:rPr>
          <w:rFonts w:ascii="Helvetica" w:eastAsia="Helvetica" w:hAnsi="Helvetica" w:cs="Helvetica"/>
        </w:rPr>
        <w:t>ecession hit African American and Hispanic families much harder than it hit white families in general. The median net worth of African American households fell from $12,</w:t>
      </w:r>
      <w:r w:rsidR="00030705" w:rsidRPr="00F819AD">
        <w:rPr>
          <w:rFonts w:ascii="Helvetica" w:eastAsia="Helvetica" w:hAnsi="Helvetica" w:cs="Helvetica"/>
        </w:rPr>
        <w:t>840</w:t>
      </w:r>
      <w:r w:rsidR="00561463" w:rsidRPr="00F819AD">
        <w:rPr>
          <w:rFonts w:ascii="Helvetica" w:eastAsia="Helvetica" w:hAnsi="Helvetica" w:cs="Helvetica"/>
        </w:rPr>
        <w:t xml:space="preserve"> in 2005 to $</w:t>
      </w:r>
      <w:r w:rsidR="00030705" w:rsidRPr="00F819AD">
        <w:rPr>
          <w:rFonts w:ascii="Helvetica" w:eastAsia="Helvetica" w:hAnsi="Helvetica" w:cs="Helvetica"/>
        </w:rPr>
        <w:t>6,081</w:t>
      </w:r>
      <w:r w:rsidR="00561463" w:rsidRPr="00F819AD">
        <w:rPr>
          <w:rFonts w:ascii="Helvetica" w:eastAsia="Helvetica" w:hAnsi="Helvetica" w:cs="Helvetica"/>
        </w:rPr>
        <w:t xml:space="preserve"> in 2009.</w:t>
      </w:r>
      <w:r w:rsidR="003C2A19" w:rsidRPr="00F819AD">
        <w:rPr>
          <w:rStyle w:val="FootnoteReference"/>
          <w:rFonts w:ascii="Helvetica,Times New Roman" w:eastAsia="Helvetica,Times New Roman" w:hAnsi="Helvetica,Times New Roman" w:cs="Helvetica,Times New Roman"/>
        </w:rPr>
        <w:footnoteReference w:id="36"/>
      </w:r>
      <w:r w:rsidR="00561463" w:rsidRPr="00F819AD">
        <w:rPr>
          <w:rFonts w:ascii="Helvetica" w:eastAsia="Helvetica" w:hAnsi="Helvetica" w:cs="Helvetica"/>
        </w:rPr>
        <w:t xml:space="preserve"> If we exclude home equity, in 2011 African Americans had one $0.0</w:t>
      </w:r>
      <w:r w:rsidR="00122CFF" w:rsidRPr="00F819AD">
        <w:rPr>
          <w:rFonts w:ascii="Helvetica" w:eastAsia="Helvetica" w:hAnsi="Helvetica" w:cs="Helvetica"/>
        </w:rPr>
        <w:t>6</w:t>
      </w:r>
      <w:r w:rsidR="00561463" w:rsidRPr="00F819AD">
        <w:rPr>
          <w:rFonts w:ascii="Helvetica" w:eastAsia="Helvetica" w:hAnsi="Helvetica" w:cs="Helvetica"/>
        </w:rPr>
        <w:t xml:space="preserve"> in wealth for every $1 that Whites ha</w:t>
      </w:r>
      <w:r w:rsidR="001E4746" w:rsidRPr="00F819AD">
        <w:rPr>
          <w:rFonts w:ascii="Helvetica" w:eastAsia="Helvetica" w:hAnsi="Helvetica" w:cs="Helvetica"/>
        </w:rPr>
        <w:t>d</w:t>
      </w:r>
      <w:r w:rsidR="00561463" w:rsidRPr="00F819AD">
        <w:rPr>
          <w:rFonts w:ascii="Helvetica" w:eastAsia="Helvetica" w:hAnsi="Helvetica" w:cs="Helvetica"/>
        </w:rPr>
        <w:t xml:space="preserve"> in wealth. That figure was $0.8</w:t>
      </w:r>
      <w:r w:rsidR="00122CFF" w:rsidRPr="00F819AD">
        <w:rPr>
          <w:rFonts w:ascii="Helvetica" w:eastAsia="Helvetica" w:hAnsi="Helvetica" w:cs="Helvetica"/>
        </w:rPr>
        <w:t>7</w:t>
      </w:r>
      <w:r w:rsidR="00561463" w:rsidRPr="00F819AD">
        <w:rPr>
          <w:rFonts w:ascii="Helvetica" w:eastAsia="Helvetica" w:hAnsi="Helvetica" w:cs="Helvetica"/>
        </w:rPr>
        <w:t xml:space="preserve"> for Asians and $0.</w:t>
      </w:r>
      <w:r w:rsidR="00122CFF" w:rsidRPr="00F819AD">
        <w:rPr>
          <w:rFonts w:ascii="Helvetica" w:eastAsia="Helvetica" w:hAnsi="Helvetica" w:cs="Helvetica"/>
        </w:rPr>
        <w:t>07</w:t>
      </w:r>
      <w:r w:rsidR="00561463" w:rsidRPr="00F819AD">
        <w:rPr>
          <w:rFonts w:ascii="Helvetica" w:eastAsia="Helvetica" w:hAnsi="Helvetica" w:cs="Helvetica"/>
        </w:rPr>
        <w:t xml:space="preserve"> for Hispanics.</w:t>
      </w:r>
      <w:r w:rsidR="003C2A19" w:rsidRPr="00F819AD">
        <w:rPr>
          <w:rStyle w:val="FootnoteReference"/>
          <w:rFonts w:ascii="Helvetica,Times New Roman" w:eastAsia="Helvetica,Times New Roman" w:hAnsi="Helvetica,Times New Roman" w:cs="Helvetica,Times New Roman"/>
        </w:rPr>
        <w:footnoteReference w:id="37"/>
      </w:r>
      <w:r w:rsidR="00561463" w:rsidRPr="00F819AD">
        <w:rPr>
          <w:rFonts w:ascii="Helvetica,Times New Roman" w:eastAsia="Helvetica,Times New Roman" w:hAnsi="Helvetica,Times New Roman" w:cs="Helvetica,Times New Roman"/>
        </w:rPr>
        <w:t xml:space="preserve"> </w:t>
      </w:r>
    </w:p>
    <w:p w14:paraId="5B3E2000" w14:textId="3843FE6B" w:rsidR="00540FF2" w:rsidRPr="00F819AD" w:rsidRDefault="007B0297" w:rsidP="00F819AD">
      <w:pPr>
        <w:pStyle w:val="paragraph"/>
        <w:spacing w:after="120" w:line="276" w:lineRule="auto"/>
        <w:textAlignment w:val="baseline"/>
        <w:rPr>
          <w:rFonts w:ascii="Helvetica" w:eastAsia="Helvetica" w:hAnsi="Helvetica" w:cs="Helvetica"/>
          <w:sz w:val="22"/>
          <w:szCs w:val="22"/>
        </w:rPr>
      </w:pPr>
      <w:r w:rsidRPr="00F819AD">
        <w:rPr>
          <w:rFonts w:ascii="Helvetica" w:eastAsia="Helvetica" w:hAnsi="Helvetica" w:cs="Helvetica"/>
          <w:sz w:val="22"/>
          <w:szCs w:val="22"/>
        </w:rPr>
        <w:t>The</w:t>
      </w:r>
      <w:r w:rsidR="00A254CC">
        <w:rPr>
          <w:rFonts w:ascii="Helvetica" w:eastAsia="Helvetica" w:hAnsi="Helvetica" w:cs="Helvetica"/>
          <w:sz w:val="22"/>
          <w:szCs w:val="22"/>
        </w:rPr>
        <w:t>re</w:t>
      </w:r>
      <w:r w:rsidRPr="00F819AD">
        <w:rPr>
          <w:rFonts w:ascii="Helvetica" w:eastAsia="Helvetica" w:hAnsi="Helvetica" w:cs="Helvetica"/>
          <w:sz w:val="22"/>
          <w:szCs w:val="22"/>
        </w:rPr>
        <w:t xml:space="preserve"> are several factors </w:t>
      </w:r>
      <w:r w:rsidR="00131935" w:rsidRPr="00F819AD">
        <w:rPr>
          <w:rFonts w:ascii="Helvetica" w:eastAsia="Helvetica" w:hAnsi="Helvetica" w:cs="Helvetica"/>
          <w:sz w:val="22"/>
          <w:szCs w:val="22"/>
        </w:rPr>
        <w:t>behind the ra</w:t>
      </w:r>
      <w:r w:rsidR="003C2A19" w:rsidRPr="00F819AD">
        <w:rPr>
          <w:rFonts w:ascii="Helvetica" w:eastAsia="Helvetica" w:hAnsi="Helvetica" w:cs="Helvetica"/>
          <w:sz w:val="22"/>
          <w:szCs w:val="22"/>
        </w:rPr>
        <w:t xml:space="preserve">cial wealth divide we see today (see Figure </w:t>
      </w:r>
      <w:r w:rsidR="00B95066">
        <w:rPr>
          <w:rFonts w:ascii="Helvetica" w:eastAsia="Helvetica" w:hAnsi="Helvetica" w:cs="Helvetica"/>
          <w:sz w:val="22"/>
          <w:szCs w:val="22"/>
        </w:rPr>
        <w:t>9</w:t>
      </w:r>
      <w:r w:rsidR="003C2A19" w:rsidRPr="00F819AD">
        <w:rPr>
          <w:rFonts w:ascii="Helvetica" w:eastAsia="Helvetica" w:hAnsi="Helvetica" w:cs="Helvetica"/>
          <w:sz w:val="22"/>
          <w:szCs w:val="22"/>
        </w:rPr>
        <w:t>)</w:t>
      </w:r>
      <w:r w:rsidR="00C7210B" w:rsidRPr="00F819AD">
        <w:rPr>
          <w:rFonts w:ascii="Helvetica" w:eastAsia="Helvetica" w:hAnsi="Helvetica" w:cs="Helvetica"/>
          <w:sz w:val="22"/>
          <w:szCs w:val="22"/>
        </w:rPr>
        <w:t xml:space="preserve">. </w:t>
      </w:r>
    </w:p>
    <w:p w14:paraId="7CEDE72D" w14:textId="35C1D650" w:rsidR="00FA466F" w:rsidRDefault="00FA466F" w:rsidP="00F819AD">
      <w:pPr>
        <w:pStyle w:val="paragraph"/>
        <w:spacing w:after="120" w:line="276" w:lineRule="auto"/>
        <w:textAlignment w:val="baseline"/>
        <w:rPr>
          <w:rFonts w:ascii="Helvetica" w:hAnsi="Helvetica" w:cs="Helvetica"/>
          <w:sz w:val="22"/>
          <w:szCs w:val="22"/>
        </w:rPr>
      </w:pPr>
    </w:p>
    <w:p w14:paraId="6F78FEC4" w14:textId="63687569" w:rsidR="00FA466F" w:rsidRDefault="00FA466F" w:rsidP="00F819AD">
      <w:pPr>
        <w:pStyle w:val="paragraph"/>
        <w:spacing w:after="120" w:line="276" w:lineRule="auto"/>
        <w:textAlignment w:val="baseline"/>
        <w:rPr>
          <w:rFonts w:ascii="Helvetica" w:hAnsi="Helvetica" w:cs="Helvetica"/>
          <w:sz w:val="22"/>
          <w:szCs w:val="22"/>
        </w:rPr>
      </w:pPr>
      <w:r w:rsidRPr="00F6022F">
        <w:rPr>
          <w:rFonts w:ascii="Helvetica" w:hAnsi="Helvetica" w:cs="Helvetica"/>
          <w:noProof/>
        </w:rPr>
        <w:lastRenderedPageBreak/>
        <w:drawing>
          <wp:anchor distT="0" distB="0" distL="114300" distR="114300" simplePos="0" relativeHeight="251656192" behindDoc="1" locked="0" layoutInCell="1" allowOverlap="1" wp14:anchorId="13C1E66C" wp14:editId="5C59326F">
            <wp:simplePos x="0" y="0"/>
            <wp:positionH relativeFrom="margin">
              <wp:posOffset>819150</wp:posOffset>
            </wp:positionH>
            <wp:positionV relativeFrom="paragraph">
              <wp:posOffset>62230</wp:posOffset>
            </wp:positionV>
            <wp:extent cx="4537075" cy="2695575"/>
            <wp:effectExtent l="57150" t="57150" r="111125" b="123825"/>
            <wp:wrapTight wrapText="bothSides">
              <wp:wrapPolygon edited="0">
                <wp:start x="-91" y="-458"/>
                <wp:lineTo x="-272" y="-305"/>
                <wp:lineTo x="-272" y="21676"/>
                <wp:lineTo x="-91" y="22440"/>
                <wp:lineTo x="21857" y="22440"/>
                <wp:lineTo x="22038" y="21676"/>
                <wp:lineTo x="22038" y="2137"/>
                <wp:lineTo x="21766" y="-153"/>
                <wp:lineTo x="21766" y="-458"/>
                <wp:lineTo x="-91" y="-458"/>
              </wp:wrapPolygon>
            </wp:wrapTight>
            <wp:docPr id="2" name="Picture 2" descr="C:\Users\funke\AppData\Local\Microsoft\Windows\INetCache\Content.MSO\434B0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nke\AppData\Local\Microsoft\Windows\INetCache\Content.MSO\434B0FD8.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7075" cy="269557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BA82091" w14:textId="07128E76" w:rsidR="00FA466F" w:rsidRDefault="00FA466F" w:rsidP="00F819AD">
      <w:pPr>
        <w:pStyle w:val="paragraph"/>
        <w:spacing w:after="120" w:line="276" w:lineRule="auto"/>
        <w:textAlignment w:val="baseline"/>
        <w:rPr>
          <w:rFonts w:ascii="Helvetica" w:hAnsi="Helvetica" w:cs="Helvetica"/>
          <w:sz w:val="22"/>
          <w:szCs w:val="22"/>
        </w:rPr>
      </w:pPr>
    </w:p>
    <w:p w14:paraId="4CABBBC2" w14:textId="3830F1DA" w:rsidR="00FA466F" w:rsidRDefault="00FA466F" w:rsidP="00F819AD">
      <w:pPr>
        <w:pStyle w:val="paragraph"/>
        <w:spacing w:after="120" w:line="276" w:lineRule="auto"/>
        <w:textAlignment w:val="baseline"/>
        <w:rPr>
          <w:rFonts w:ascii="Helvetica" w:hAnsi="Helvetica" w:cs="Helvetica"/>
          <w:sz w:val="22"/>
          <w:szCs w:val="22"/>
        </w:rPr>
      </w:pPr>
    </w:p>
    <w:p w14:paraId="335A62EF" w14:textId="77777777" w:rsidR="00FA466F" w:rsidRDefault="00FA466F" w:rsidP="00F819AD">
      <w:pPr>
        <w:pStyle w:val="paragraph"/>
        <w:spacing w:after="120" w:line="276" w:lineRule="auto"/>
        <w:textAlignment w:val="baseline"/>
        <w:rPr>
          <w:rFonts w:ascii="Helvetica" w:hAnsi="Helvetica" w:cs="Helvetica"/>
          <w:sz w:val="22"/>
          <w:szCs w:val="22"/>
        </w:rPr>
      </w:pPr>
    </w:p>
    <w:p w14:paraId="5F837DE0" w14:textId="41FB2312" w:rsidR="00FA466F" w:rsidRDefault="00FA466F" w:rsidP="00F819AD">
      <w:pPr>
        <w:pStyle w:val="paragraph"/>
        <w:spacing w:after="120" w:line="276" w:lineRule="auto"/>
        <w:textAlignment w:val="baseline"/>
        <w:rPr>
          <w:rFonts w:ascii="Helvetica" w:hAnsi="Helvetica" w:cs="Helvetica"/>
          <w:sz w:val="22"/>
          <w:szCs w:val="22"/>
        </w:rPr>
      </w:pPr>
    </w:p>
    <w:p w14:paraId="375F255B" w14:textId="18A7D10E" w:rsidR="00FA466F" w:rsidRDefault="00FA466F" w:rsidP="00F819AD">
      <w:pPr>
        <w:pStyle w:val="paragraph"/>
        <w:spacing w:after="120" w:line="276" w:lineRule="auto"/>
        <w:textAlignment w:val="baseline"/>
        <w:rPr>
          <w:rFonts w:ascii="Helvetica" w:hAnsi="Helvetica" w:cs="Helvetica"/>
          <w:sz w:val="22"/>
          <w:szCs w:val="22"/>
        </w:rPr>
      </w:pPr>
    </w:p>
    <w:p w14:paraId="000D0D3C" w14:textId="201F32D0" w:rsidR="00FA466F" w:rsidRDefault="00FA466F" w:rsidP="00F819AD">
      <w:pPr>
        <w:pStyle w:val="paragraph"/>
        <w:spacing w:after="120" w:line="276" w:lineRule="auto"/>
        <w:textAlignment w:val="baseline"/>
        <w:rPr>
          <w:rFonts w:ascii="Helvetica" w:hAnsi="Helvetica" w:cs="Helvetica"/>
          <w:sz w:val="22"/>
          <w:szCs w:val="22"/>
        </w:rPr>
      </w:pPr>
    </w:p>
    <w:p w14:paraId="081FC7BD" w14:textId="77777777" w:rsidR="00FA466F" w:rsidRDefault="00FA466F" w:rsidP="00F819AD">
      <w:pPr>
        <w:pStyle w:val="paragraph"/>
        <w:spacing w:after="120" w:line="276" w:lineRule="auto"/>
        <w:textAlignment w:val="baseline"/>
        <w:rPr>
          <w:rFonts w:ascii="Helvetica" w:hAnsi="Helvetica" w:cs="Helvetica"/>
          <w:sz w:val="22"/>
          <w:szCs w:val="22"/>
        </w:rPr>
      </w:pPr>
    </w:p>
    <w:p w14:paraId="608E0BE9" w14:textId="77777777" w:rsidR="00FA466F" w:rsidRDefault="00FA466F" w:rsidP="00F819AD">
      <w:pPr>
        <w:pStyle w:val="paragraph"/>
        <w:spacing w:after="120" w:line="276" w:lineRule="auto"/>
        <w:textAlignment w:val="baseline"/>
        <w:rPr>
          <w:rFonts w:ascii="Helvetica" w:hAnsi="Helvetica" w:cs="Helvetica"/>
          <w:sz w:val="22"/>
          <w:szCs w:val="22"/>
        </w:rPr>
      </w:pPr>
    </w:p>
    <w:p w14:paraId="7A36642A" w14:textId="7FDEF0C0" w:rsidR="00FA466F" w:rsidRDefault="00FA466F" w:rsidP="00F819AD">
      <w:pPr>
        <w:pStyle w:val="paragraph"/>
        <w:spacing w:after="120" w:line="276" w:lineRule="auto"/>
        <w:textAlignment w:val="baseline"/>
        <w:rPr>
          <w:rFonts w:ascii="Helvetica" w:hAnsi="Helvetica" w:cs="Helvetica"/>
          <w:sz w:val="22"/>
          <w:szCs w:val="22"/>
        </w:rPr>
      </w:pPr>
    </w:p>
    <w:p w14:paraId="07DC5768" w14:textId="4DE1F97A" w:rsidR="00FA466F" w:rsidRDefault="00FA466F" w:rsidP="00F819AD">
      <w:pPr>
        <w:pStyle w:val="paragraph"/>
        <w:spacing w:after="120" w:line="276" w:lineRule="auto"/>
        <w:textAlignment w:val="baseline"/>
        <w:rPr>
          <w:rFonts w:ascii="Helvetica" w:hAnsi="Helvetica" w:cs="Helvetica"/>
          <w:sz w:val="22"/>
          <w:szCs w:val="22"/>
        </w:rPr>
      </w:pPr>
    </w:p>
    <w:p w14:paraId="749DFEF0" w14:textId="31BFCADA" w:rsidR="00024243" w:rsidRPr="00F6022F" w:rsidRDefault="00B95066" w:rsidP="00F819AD">
      <w:pPr>
        <w:pStyle w:val="paragraph"/>
        <w:keepNext/>
        <w:spacing w:after="120" w:line="276" w:lineRule="auto"/>
        <w:textAlignment w:val="baseline"/>
        <w:rPr>
          <w:rFonts w:ascii="Helvetica" w:hAnsi="Helvetica" w:cs="Helvetica"/>
          <w:sz w:val="22"/>
          <w:szCs w:val="22"/>
        </w:rPr>
      </w:pPr>
      <w:r w:rsidRPr="00F6022F">
        <w:rPr>
          <w:rFonts w:ascii="Helvetica" w:hAnsi="Helvetica" w:cs="Helvetica"/>
          <w:noProof/>
        </w:rPr>
        <mc:AlternateContent>
          <mc:Choice Requires="wps">
            <w:drawing>
              <wp:anchor distT="0" distB="0" distL="114300" distR="114300" simplePos="0" relativeHeight="251658240" behindDoc="1" locked="0" layoutInCell="1" allowOverlap="1" wp14:anchorId="3BF99D31" wp14:editId="25D5D282">
                <wp:simplePos x="0" y="0"/>
                <wp:positionH relativeFrom="margin">
                  <wp:align>center</wp:align>
                </wp:positionH>
                <wp:positionV relativeFrom="paragraph">
                  <wp:posOffset>151765</wp:posOffset>
                </wp:positionV>
                <wp:extent cx="4081780" cy="257175"/>
                <wp:effectExtent l="0" t="0" r="0" b="9525"/>
                <wp:wrapTight wrapText="bothSides">
                  <wp:wrapPolygon edited="0">
                    <wp:start x="0" y="0"/>
                    <wp:lineTo x="0" y="20800"/>
                    <wp:lineTo x="21472" y="20800"/>
                    <wp:lineTo x="2147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081780" cy="257175"/>
                        </a:xfrm>
                        <a:prstGeom prst="rect">
                          <a:avLst/>
                        </a:prstGeom>
                        <a:solidFill>
                          <a:prstClr val="white"/>
                        </a:solidFill>
                        <a:ln>
                          <a:noFill/>
                        </a:ln>
                      </wps:spPr>
                      <wps:txbx>
                        <w:txbxContent>
                          <w:p w14:paraId="54E818E9" w14:textId="75B01AE3" w:rsidR="00601F98" w:rsidRPr="00F6022F" w:rsidRDefault="00601F98" w:rsidP="0023732C">
                            <w:pPr>
                              <w:pStyle w:val="Caption"/>
                              <w:jc w:val="center"/>
                              <w:rPr>
                                <w:rFonts w:ascii="Arial" w:hAnsi="Arial" w:cs="Arial"/>
                                <w:noProof/>
                                <w:color w:val="595959" w:themeColor="text1" w:themeTint="A6"/>
                                <w:sz w:val="22"/>
                                <w:szCs w:val="22"/>
                              </w:rPr>
                            </w:pPr>
                            <w:r w:rsidRPr="00F6022F">
                              <w:rPr>
                                <w:rFonts w:ascii="Arial" w:hAnsi="Arial" w:cs="Arial"/>
                                <w:color w:val="595959" w:themeColor="text1" w:themeTint="A6"/>
                                <w:sz w:val="22"/>
                                <w:szCs w:val="22"/>
                              </w:rPr>
                              <w:t xml:space="preserve">Figure </w:t>
                            </w:r>
                            <w:r>
                              <w:rPr>
                                <w:rFonts w:ascii="Arial" w:hAnsi="Arial" w:cs="Arial"/>
                                <w:color w:val="595959" w:themeColor="text1" w:themeTint="A6"/>
                                <w:sz w:val="22"/>
                                <w:szCs w:val="22"/>
                              </w:rPr>
                              <w:t>9</w:t>
                            </w:r>
                            <w:r>
                              <w:rPr>
                                <w:rFonts w:ascii="Arial" w:hAnsi="Arial" w:cs="Arial"/>
                                <w:color w:val="595959" w:themeColor="text1" w:themeTint="A6"/>
                                <w:sz w:val="22"/>
                                <w:szCs w:val="22"/>
                                <w:vertAlign w:val="superscript"/>
                              </w:rPr>
                              <w:t xml:space="preserve">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99D31" id="Text Box 10" o:spid="_x0000_s1028" type="#_x0000_t202" style="position:absolute;margin-left:0;margin-top:11.95pt;width:321.4pt;height:20.2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" stroked="f">
                <v:textbox inset="0,0,0,0">
                  <w:txbxContent>
                    <w:p w14:paraId="54E818E9" w14:textId="75B01AE3" w:rsidR="00601F98" w:rsidRPr="00F6022F" w:rsidRDefault="00601F98" w:rsidP="0023732C">
                      <w:pPr>
                        <w:pStyle w:val="Caption"/>
                        <w:jc w:val="center"/>
                        <w:rPr>
                          <w:rFonts w:ascii="Arial" w:hAnsi="Arial" w:cs="Arial"/>
                          <w:noProof/>
                          <w:color w:val="595959" w:themeColor="text1" w:themeTint="A6"/>
                          <w:sz w:val="22"/>
                          <w:szCs w:val="22"/>
                        </w:rPr>
                      </w:pPr>
                      <w:r w:rsidRPr="00F6022F">
                        <w:rPr>
                          <w:rFonts w:ascii="Arial" w:hAnsi="Arial" w:cs="Arial"/>
                          <w:color w:val="595959" w:themeColor="text1" w:themeTint="A6"/>
                          <w:sz w:val="22"/>
                          <w:szCs w:val="22"/>
                        </w:rPr>
                        <w:t xml:space="preserve">Figure </w:t>
                      </w:r>
                      <w:r>
                        <w:rPr>
                          <w:rFonts w:ascii="Arial" w:hAnsi="Arial" w:cs="Arial"/>
                          <w:color w:val="595959" w:themeColor="text1" w:themeTint="A6"/>
                          <w:sz w:val="22"/>
                          <w:szCs w:val="22"/>
                        </w:rPr>
                        <w:t>9</w:t>
                      </w:r>
                      <w:r>
                        <w:rPr>
                          <w:rFonts w:ascii="Arial" w:hAnsi="Arial" w:cs="Arial"/>
                          <w:color w:val="595959" w:themeColor="text1" w:themeTint="A6"/>
                          <w:sz w:val="22"/>
                          <w:szCs w:val="22"/>
                          <w:vertAlign w:val="superscript"/>
                        </w:rPr>
                        <w:t xml:space="preserve"> 42</w:t>
                      </w:r>
                    </w:p>
                  </w:txbxContent>
                </v:textbox>
                <w10:wrap type="tight" anchorx="margin"/>
              </v:shape>
            </w:pict>
          </mc:Fallback>
        </mc:AlternateContent>
      </w:r>
    </w:p>
    <w:p w14:paraId="6D011004" w14:textId="01709FEA" w:rsidR="00024243" w:rsidRPr="00F6022F" w:rsidRDefault="00024243" w:rsidP="00F819AD">
      <w:pPr>
        <w:pStyle w:val="paragraph"/>
        <w:spacing w:after="120" w:line="276" w:lineRule="auto"/>
        <w:textAlignment w:val="baseline"/>
        <w:rPr>
          <w:rFonts w:ascii="Helvetica" w:hAnsi="Helvetica" w:cs="Helvetica"/>
          <w:sz w:val="22"/>
          <w:szCs w:val="22"/>
        </w:rPr>
      </w:pPr>
    </w:p>
    <w:p w14:paraId="2DC84860" w14:textId="35CA8A00" w:rsidR="00CE09F1" w:rsidRPr="00F819AD" w:rsidRDefault="00A4525F" w:rsidP="00F819AD">
      <w:pPr>
        <w:pStyle w:val="paragraph"/>
        <w:spacing w:after="120" w:line="276" w:lineRule="auto"/>
        <w:textAlignment w:val="baseline"/>
        <w:rPr>
          <w:rFonts w:ascii="Helvetica" w:eastAsia="Helvetica" w:hAnsi="Helvetica" w:cs="Helvetica"/>
          <w:sz w:val="22"/>
          <w:szCs w:val="22"/>
        </w:rPr>
      </w:pPr>
      <w:r w:rsidRPr="00F819AD">
        <w:rPr>
          <w:rFonts w:ascii="Helvetica" w:eastAsia="Helvetica" w:hAnsi="Helvetica" w:cs="Helvetica"/>
          <w:sz w:val="22"/>
          <w:szCs w:val="22"/>
        </w:rPr>
        <w:t>F</w:t>
      </w:r>
      <w:r w:rsidR="003C2A19" w:rsidRPr="00F819AD">
        <w:rPr>
          <w:rFonts w:ascii="Helvetica" w:eastAsia="Helvetica" w:hAnsi="Helvetica" w:cs="Helvetica"/>
          <w:sz w:val="22"/>
          <w:szCs w:val="22"/>
        </w:rPr>
        <w:t>or example, f</w:t>
      </w:r>
      <w:r w:rsidRPr="00F819AD">
        <w:rPr>
          <w:rFonts w:ascii="Helvetica" w:eastAsia="Helvetica" w:hAnsi="Helvetica" w:cs="Helvetica"/>
          <w:sz w:val="22"/>
          <w:szCs w:val="22"/>
        </w:rPr>
        <w:t>amily support and inheritances perpetuate wealth inequality through the trans</w:t>
      </w:r>
      <w:r w:rsidR="001E2E1C" w:rsidRPr="00F819AD">
        <w:rPr>
          <w:rFonts w:ascii="Helvetica" w:eastAsia="Helvetica" w:hAnsi="Helvetica" w:cs="Helvetica"/>
          <w:sz w:val="22"/>
          <w:szCs w:val="22"/>
        </w:rPr>
        <w:t xml:space="preserve">fer of resources passed down </w:t>
      </w:r>
      <w:r w:rsidR="00BA34CE">
        <w:rPr>
          <w:rFonts w:ascii="Helvetica" w:eastAsia="Helvetica" w:hAnsi="Helvetica" w:cs="Helvetica"/>
          <w:sz w:val="22"/>
          <w:szCs w:val="22"/>
        </w:rPr>
        <w:t>to the next</w:t>
      </w:r>
      <w:r w:rsidR="001E2E1C" w:rsidRPr="00F819AD">
        <w:rPr>
          <w:rFonts w:ascii="Helvetica" w:eastAsia="Helvetica" w:hAnsi="Helvetica" w:cs="Helvetica"/>
          <w:sz w:val="22"/>
          <w:szCs w:val="22"/>
        </w:rPr>
        <w:t xml:space="preserve"> generation</w:t>
      </w:r>
      <w:r w:rsidR="003C3320" w:rsidRPr="00F819AD">
        <w:rPr>
          <w:rFonts w:ascii="Helvetica" w:eastAsia="Helvetica" w:hAnsi="Helvetica" w:cs="Helvetica"/>
          <w:sz w:val="22"/>
          <w:szCs w:val="22"/>
        </w:rPr>
        <w:t>.</w:t>
      </w:r>
      <w:r w:rsidR="003C2A19" w:rsidRPr="00F819AD">
        <w:rPr>
          <w:rStyle w:val="FootnoteReference"/>
          <w:rFonts w:ascii="Helvetica" w:eastAsia="Helvetica" w:hAnsi="Helvetica" w:cs="Helvetica"/>
          <w:sz w:val="22"/>
          <w:szCs w:val="22"/>
        </w:rPr>
        <w:footnoteReference w:id="38"/>
      </w:r>
      <w:r w:rsidR="003C3320" w:rsidRPr="00F819AD">
        <w:rPr>
          <w:rFonts w:ascii="Helvetica" w:eastAsia="Helvetica" w:hAnsi="Helvetica" w:cs="Helvetica"/>
          <w:sz w:val="22"/>
          <w:szCs w:val="22"/>
        </w:rPr>
        <w:t xml:space="preserve"> Over time</w:t>
      </w:r>
      <w:r w:rsidR="000D20D9">
        <w:rPr>
          <w:rFonts w:ascii="Helvetica" w:eastAsia="Helvetica" w:hAnsi="Helvetica" w:cs="Helvetica"/>
          <w:sz w:val="22"/>
          <w:szCs w:val="22"/>
        </w:rPr>
        <w:t>,</w:t>
      </w:r>
      <w:r w:rsidR="003C3320" w:rsidRPr="00F819AD">
        <w:rPr>
          <w:rFonts w:ascii="Helvetica" w:eastAsia="Helvetica" w:hAnsi="Helvetica" w:cs="Helvetica"/>
          <w:sz w:val="22"/>
          <w:szCs w:val="22"/>
        </w:rPr>
        <w:t xml:space="preserve"> wealth that gets passed down accumulates and appreciates in value,</w:t>
      </w:r>
      <w:r w:rsidR="003C2A19" w:rsidRPr="00F819AD">
        <w:rPr>
          <w:rStyle w:val="FootnoteReference"/>
          <w:rFonts w:ascii="Helvetica" w:eastAsia="Helvetica" w:hAnsi="Helvetica" w:cs="Helvetica"/>
          <w:sz w:val="22"/>
          <w:szCs w:val="22"/>
        </w:rPr>
        <w:footnoteReference w:id="39"/>
      </w:r>
      <w:r w:rsidR="003C3320" w:rsidRPr="00F819AD">
        <w:rPr>
          <w:rFonts w:ascii="Helvetica" w:eastAsia="Helvetica" w:hAnsi="Helvetica" w:cs="Helvetica"/>
          <w:sz w:val="22"/>
          <w:szCs w:val="22"/>
        </w:rPr>
        <w:t xml:space="preserve"> thus creating greater inequality between </w:t>
      </w:r>
      <w:r w:rsidR="00ED6E7B" w:rsidRPr="00F819AD">
        <w:rPr>
          <w:rFonts w:ascii="Helvetica" w:eastAsia="Helvetica" w:hAnsi="Helvetica" w:cs="Helvetica"/>
          <w:sz w:val="22"/>
          <w:szCs w:val="22"/>
        </w:rPr>
        <w:t>the haves and have</w:t>
      </w:r>
      <w:r w:rsidR="000D20D9">
        <w:rPr>
          <w:rFonts w:ascii="Helvetica" w:eastAsia="Helvetica" w:hAnsi="Helvetica" w:cs="Helvetica"/>
          <w:sz w:val="22"/>
          <w:szCs w:val="22"/>
        </w:rPr>
        <w:t>-</w:t>
      </w:r>
      <w:r w:rsidR="00ED6E7B" w:rsidRPr="00F819AD">
        <w:rPr>
          <w:rFonts w:ascii="Helvetica" w:eastAsia="Helvetica" w:hAnsi="Helvetica" w:cs="Helvetica"/>
          <w:sz w:val="22"/>
          <w:szCs w:val="22"/>
        </w:rPr>
        <w:t xml:space="preserve">nots. </w:t>
      </w:r>
      <w:r w:rsidR="00E8312A" w:rsidRPr="00F819AD">
        <w:rPr>
          <w:rFonts w:ascii="Helvetica" w:eastAsia="Helvetica" w:hAnsi="Helvetica" w:cs="Helvetica"/>
          <w:sz w:val="22"/>
          <w:szCs w:val="22"/>
        </w:rPr>
        <w:t xml:space="preserve">Lack of access to a viable </w:t>
      </w:r>
      <w:r w:rsidR="005C2277" w:rsidRPr="00F819AD">
        <w:rPr>
          <w:rFonts w:ascii="Helvetica" w:eastAsia="Helvetica" w:hAnsi="Helvetica" w:cs="Helvetica"/>
          <w:sz w:val="22"/>
          <w:szCs w:val="22"/>
        </w:rPr>
        <w:t>source of income through employment also widens the racial wealth gap. In 201</w:t>
      </w:r>
      <w:r w:rsidR="00447A35" w:rsidRPr="00F819AD">
        <w:rPr>
          <w:rFonts w:ascii="Helvetica" w:eastAsia="Helvetica" w:hAnsi="Helvetica" w:cs="Helvetica"/>
          <w:sz w:val="22"/>
          <w:szCs w:val="22"/>
        </w:rPr>
        <w:t>7</w:t>
      </w:r>
      <w:r w:rsidR="005C2277" w:rsidRPr="00F819AD">
        <w:rPr>
          <w:rFonts w:ascii="Helvetica" w:eastAsia="Helvetica" w:hAnsi="Helvetica" w:cs="Helvetica"/>
          <w:sz w:val="22"/>
          <w:szCs w:val="22"/>
        </w:rPr>
        <w:t>, the unemployment rate for</w:t>
      </w:r>
      <w:r w:rsidR="00FB077A" w:rsidRPr="00F819AD">
        <w:rPr>
          <w:rFonts w:ascii="Helvetica" w:eastAsia="Helvetica" w:hAnsi="Helvetica" w:cs="Helvetica"/>
          <w:sz w:val="22"/>
          <w:szCs w:val="22"/>
        </w:rPr>
        <w:t xml:space="preserve"> </w:t>
      </w:r>
      <w:r w:rsidR="00675317">
        <w:rPr>
          <w:rFonts w:ascii="Helvetica" w:eastAsia="Helvetica" w:hAnsi="Helvetica" w:cs="Helvetica"/>
          <w:sz w:val="22"/>
          <w:szCs w:val="22"/>
        </w:rPr>
        <w:t>African American</w:t>
      </w:r>
      <w:r w:rsidR="00DC7BB2" w:rsidRPr="00F819AD">
        <w:rPr>
          <w:rFonts w:ascii="Helvetica" w:eastAsia="Helvetica" w:hAnsi="Helvetica" w:cs="Helvetica"/>
          <w:sz w:val="22"/>
          <w:szCs w:val="22"/>
        </w:rPr>
        <w:t xml:space="preserve"> was</w:t>
      </w:r>
      <w:r w:rsidR="00447A35" w:rsidRPr="00F819AD">
        <w:rPr>
          <w:rFonts w:ascii="Helvetica" w:eastAsia="Helvetica" w:hAnsi="Helvetica" w:cs="Helvetica"/>
          <w:sz w:val="22"/>
          <w:szCs w:val="22"/>
        </w:rPr>
        <w:t xml:space="preserve"> </w:t>
      </w:r>
      <w:hyperlink r:id="rId36" w:history="1">
        <w:r w:rsidR="00447A35" w:rsidRPr="00F819AD">
          <w:rPr>
            <w:rStyle w:val="Hyperlink"/>
            <w:rFonts w:ascii="Helvetica" w:eastAsia="Helvetica" w:hAnsi="Helvetica" w:cs="Helvetica"/>
            <w:sz w:val="22"/>
            <w:szCs w:val="22"/>
          </w:rPr>
          <w:t>more than</w:t>
        </w:r>
        <w:r w:rsidR="00DC7BB2" w:rsidRPr="00F819AD">
          <w:rPr>
            <w:rStyle w:val="Hyperlink"/>
            <w:rFonts w:ascii="Helvetica" w:eastAsia="Helvetica" w:hAnsi="Helvetica" w:cs="Helvetica"/>
            <w:sz w:val="22"/>
            <w:szCs w:val="22"/>
          </w:rPr>
          <w:t xml:space="preserve"> twice the rate</w:t>
        </w:r>
      </w:hyperlink>
      <w:r w:rsidR="003C2A19" w:rsidRPr="00F819AD">
        <w:rPr>
          <w:rStyle w:val="FootnoteReference"/>
          <w:rFonts w:ascii="Helvetica" w:eastAsia="Helvetica" w:hAnsi="Helvetica" w:cs="Helvetica"/>
          <w:sz w:val="22"/>
          <w:szCs w:val="22"/>
          <w:u w:val="single"/>
        </w:rPr>
        <w:footnoteReference w:id="40"/>
      </w:r>
      <w:r w:rsidR="00DC7BB2" w:rsidRPr="00F819AD">
        <w:rPr>
          <w:rFonts w:ascii="Helvetica" w:eastAsia="Helvetica" w:hAnsi="Helvetica" w:cs="Helvetica"/>
          <w:sz w:val="22"/>
          <w:szCs w:val="22"/>
        </w:rPr>
        <w:t xml:space="preserve"> for white Americans. </w:t>
      </w:r>
      <w:r w:rsidR="00110D45" w:rsidRPr="00F819AD">
        <w:rPr>
          <w:rFonts w:ascii="Helvetica" w:eastAsia="Helvetica" w:hAnsi="Helvetica" w:cs="Helvetica"/>
          <w:sz w:val="22"/>
          <w:szCs w:val="22"/>
        </w:rPr>
        <w:t xml:space="preserve">While college education remains a </w:t>
      </w:r>
      <w:r w:rsidR="00B1608B" w:rsidRPr="00F819AD">
        <w:rPr>
          <w:rFonts w:ascii="Helvetica" w:eastAsia="Helvetica" w:hAnsi="Helvetica" w:cs="Helvetica"/>
          <w:sz w:val="22"/>
          <w:szCs w:val="22"/>
        </w:rPr>
        <w:t xml:space="preserve">path </w:t>
      </w:r>
      <w:r w:rsidR="00110D45" w:rsidRPr="00F819AD">
        <w:rPr>
          <w:rFonts w:ascii="Helvetica" w:eastAsia="Helvetica" w:hAnsi="Helvetica" w:cs="Helvetica"/>
          <w:sz w:val="22"/>
          <w:szCs w:val="22"/>
        </w:rPr>
        <w:t xml:space="preserve">to upward mobility </w:t>
      </w:r>
      <w:r w:rsidR="00B1608B" w:rsidRPr="00F819AD">
        <w:rPr>
          <w:rFonts w:ascii="Helvetica" w:eastAsia="Helvetica" w:hAnsi="Helvetica" w:cs="Helvetica"/>
          <w:sz w:val="22"/>
          <w:szCs w:val="22"/>
        </w:rPr>
        <w:t>and opportunity for future wealth creation,</w:t>
      </w:r>
      <w:r w:rsidR="00BA0831" w:rsidRPr="00F819AD">
        <w:rPr>
          <w:rFonts w:ascii="Helvetica" w:eastAsia="Helvetica" w:hAnsi="Helvetica" w:cs="Helvetica"/>
          <w:sz w:val="22"/>
          <w:szCs w:val="22"/>
        </w:rPr>
        <w:t xml:space="preserve"> </w:t>
      </w:r>
      <w:r w:rsidR="000D20D9">
        <w:rPr>
          <w:rFonts w:ascii="Helvetica" w:eastAsia="Helvetica" w:hAnsi="Helvetica" w:cs="Helvetica"/>
          <w:sz w:val="22"/>
          <w:szCs w:val="22"/>
        </w:rPr>
        <w:t>African Americans and Hispanics</w:t>
      </w:r>
      <w:r w:rsidR="00110D45" w:rsidRPr="00F819AD">
        <w:rPr>
          <w:rFonts w:ascii="Helvetica" w:eastAsia="Helvetica" w:hAnsi="Helvetica" w:cs="Helvetica"/>
          <w:sz w:val="22"/>
          <w:szCs w:val="22"/>
        </w:rPr>
        <w:t xml:space="preserve"> are less likely to attend college than their white counterparts. </w:t>
      </w:r>
      <w:r w:rsidR="00BA0831" w:rsidRPr="00F819AD">
        <w:rPr>
          <w:rFonts w:ascii="Helvetica" w:eastAsia="Helvetica" w:hAnsi="Helvetica" w:cs="Helvetica"/>
          <w:sz w:val="22"/>
          <w:szCs w:val="22"/>
        </w:rPr>
        <w:t>Further, the</w:t>
      </w:r>
      <w:r w:rsidR="0023732C" w:rsidRPr="00F819AD">
        <w:rPr>
          <w:rFonts w:ascii="Helvetica" w:eastAsia="Helvetica" w:hAnsi="Helvetica" w:cs="Helvetica"/>
          <w:sz w:val="22"/>
          <w:szCs w:val="22"/>
        </w:rPr>
        <w:t xml:space="preserve"> wealth gap persists even with higher education attainment as the</w:t>
      </w:r>
      <w:r w:rsidR="00BA0831" w:rsidRPr="00F819AD">
        <w:rPr>
          <w:rFonts w:ascii="Helvetica" w:eastAsia="Helvetica" w:hAnsi="Helvetica" w:cs="Helvetica"/>
          <w:sz w:val="22"/>
          <w:szCs w:val="22"/>
        </w:rPr>
        <w:t xml:space="preserve"> </w:t>
      </w:r>
      <w:r w:rsidR="0030059B" w:rsidRPr="00F819AD">
        <w:rPr>
          <w:rFonts w:ascii="Helvetica" w:eastAsia="Helvetica" w:hAnsi="Helvetica" w:cs="Helvetica"/>
          <w:sz w:val="22"/>
          <w:szCs w:val="22"/>
        </w:rPr>
        <w:t>average</w:t>
      </w:r>
      <w:r w:rsidR="00BA0831" w:rsidRPr="00F819AD">
        <w:rPr>
          <w:rFonts w:ascii="Helvetica" w:eastAsia="Helvetica" w:hAnsi="Helvetica" w:cs="Helvetica"/>
          <w:sz w:val="22"/>
          <w:szCs w:val="22"/>
        </w:rPr>
        <w:t xml:space="preserve"> </w:t>
      </w:r>
      <w:r w:rsidR="000D20D9">
        <w:rPr>
          <w:rFonts w:ascii="Helvetica" w:eastAsia="Helvetica" w:hAnsi="Helvetica" w:cs="Helvetica"/>
          <w:sz w:val="22"/>
          <w:szCs w:val="22"/>
        </w:rPr>
        <w:t>b</w:t>
      </w:r>
      <w:r w:rsidR="00BA0831" w:rsidRPr="00F819AD">
        <w:rPr>
          <w:rFonts w:ascii="Helvetica" w:eastAsia="Helvetica" w:hAnsi="Helvetica" w:cs="Helvetica"/>
          <w:sz w:val="22"/>
          <w:szCs w:val="22"/>
        </w:rPr>
        <w:t xml:space="preserve">lack </w:t>
      </w:r>
      <w:r w:rsidR="0030059B" w:rsidRPr="00F819AD">
        <w:rPr>
          <w:rFonts w:ascii="Helvetica" w:eastAsia="Helvetica" w:hAnsi="Helvetica" w:cs="Helvetica"/>
          <w:sz w:val="22"/>
          <w:szCs w:val="22"/>
        </w:rPr>
        <w:t xml:space="preserve">college </w:t>
      </w:r>
      <w:r w:rsidR="00BA0831" w:rsidRPr="00F819AD">
        <w:rPr>
          <w:rFonts w:ascii="Helvetica" w:eastAsia="Helvetica" w:hAnsi="Helvetica" w:cs="Helvetica"/>
          <w:sz w:val="22"/>
          <w:szCs w:val="22"/>
        </w:rPr>
        <w:t>graduate owns</w:t>
      </w:r>
      <w:r w:rsidR="006317B6" w:rsidRPr="00F819AD">
        <w:rPr>
          <w:rFonts w:ascii="Helvetica" w:eastAsia="Helvetica" w:hAnsi="Helvetica" w:cs="Helvetica"/>
          <w:sz w:val="22"/>
          <w:szCs w:val="22"/>
        </w:rPr>
        <w:t xml:space="preserve"> </w:t>
      </w:r>
      <w:r w:rsidR="009C7DFB" w:rsidRPr="00F819AD">
        <w:rPr>
          <w:rFonts w:ascii="Helvetica" w:eastAsia="Helvetica" w:hAnsi="Helvetica" w:cs="Helvetica"/>
          <w:sz w:val="22"/>
          <w:szCs w:val="22"/>
        </w:rPr>
        <w:t xml:space="preserve">less wealth </w:t>
      </w:r>
      <w:r w:rsidR="0030059B" w:rsidRPr="00F819AD">
        <w:rPr>
          <w:rFonts w:ascii="Helvetica" w:eastAsia="Helvetica" w:hAnsi="Helvetica" w:cs="Helvetica"/>
          <w:sz w:val="22"/>
          <w:szCs w:val="22"/>
        </w:rPr>
        <w:t>than a white high school dropout.</w:t>
      </w:r>
      <w:r w:rsidR="003C2A19" w:rsidRPr="00F819AD">
        <w:rPr>
          <w:rStyle w:val="FootnoteReference"/>
          <w:rFonts w:ascii="Helvetica" w:eastAsia="Helvetica" w:hAnsi="Helvetica" w:cs="Helvetica"/>
          <w:sz w:val="22"/>
          <w:szCs w:val="22"/>
        </w:rPr>
        <w:footnoteReference w:id="41"/>
      </w:r>
      <w:r w:rsidR="00AC7067" w:rsidRPr="00F819AD">
        <w:rPr>
          <w:rFonts w:ascii="Helvetica" w:eastAsia="Helvetica" w:hAnsi="Helvetica" w:cs="Helvetica"/>
          <w:sz w:val="22"/>
          <w:szCs w:val="22"/>
        </w:rPr>
        <w:t xml:space="preserve"> </w:t>
      </w:r>
    </w:p>
    <w:p w14:paraId="34EA9BEE" w14:textId="77777777" w:rsidR="00B95066" w:rsidRPr="00F6022F" w:rsidRDefault="00B95066" w:rsidP="00F819AD">
      <w:pPr>
        <w:pStyle w:val="paragraph"/>
        <w:keepNext/>
        <w:spacing w:after="120" w:line="276" w:lineRule="auto"/>
        <w:jc w:val="center"/>
        <w:textAlignment w:val="baseline"/>
        <w:rPr>
          <w:rFonts w:ascii="Helvetica" w:hAnsi="Helvetica" w:cs="Helvetica"/>
          <w:sz w:val="22"/>
          <w:szCs w:val="22"/>
        </w:rPr>
      </w:pPr>
    </w:p>
    <w:p w14:paraId="19CB0297" w14:textId="53B015AB" w:rsidR="000D20D9" w:rsidRDefault="000D20D9" w:rsidP="00F819AD">
      <w:pPr>
        <w:pStyle w:val="paragraph"/>
        <w:keepNext/>
        <w:spacing w:after="120" w:line="276" w:lineRule="auto"/>
        <w:textAlignment w:val="baseline"/>
        <w:rPr>
          <w:rFonts w:ascii="Helvetica" w:eastAsia="Helvetica" w:hAnsi="Helvetica" w:cs="Helvetica"/>
          <w:sz w:val="22"/>
          <w:szCs w:val="22"/>
        </w:rPr>
      </w:pPr>
      <w:r w:rsidRPr="00F6022F">
        <w:rPr>
          <w:rFonts w:ascii="Helvetica" w:hAnsi="Helvetica" w:cs="Helvetica"/>
          <w:noProof/>
        </w:rPr>
        <w:drawing>
          <wp:anchor distT="0" distB="0" distL="114300" distR="114300" simplePos="0" relativeHeight="251697152" behindDoc="1" locked="0" layoutInCell="1" allowOverlap="1" wp14:anchorId="26ED4884" wp14:editId="40C0CF1A">
            <wp:simplePos x="0" y="0"/>
            <wp:positionH relativeFrom="margin">
              <wp:align>right</wp:align>
            </wp:positionH>
            <wp:positionV relativeFrom="paragraph">
              <wp:posOffset>3003550</wp:posOffset>
            </wp:positionV>
            <wp:extent cx="3901440" cy="2263140"/>
            <wp:effectExtent l="57150" t="57150" r="118110" b="118110"/>
            <wp:wrapTight wrapText="bothSides">
              <wp:wrapPolygon edited="0">
                <wp:start x="-105" y="-545"/>
                <wp:lineTo x="-316" y="-364"/>
                <wp:lineTo x="-316" y="21818"/>
                <wp:lineTo x="-105" y="22545"/>
                <wp:lineTo x="21938" y="22545"/>
                <wp:lineTo x="22148" y="20182"/>
                <wp:lineTo x="22148" y="2545"/>
                <wp:lineTo x="21832" y="-182"/>
                <wp:lineTo x="21832" y="-545"/>
                <wp:lineTo x="-105" y="-54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kedGetImage (1)_LI.jpg"/>
                    <pic:cNvPicPr/>
                  </pic:nvPicPr>
                  <pic:blipFill rotWithShape="1">
                    <a:blip r:embed="rId37">
                      <a:extLst>
                        <a:ext uri="{28A0092B-C50C-407E-A947-70E740481C1C}">
                          <a14:useLocalDpi xmlns:a14="http://schemas.microsoft.com/office/drawing/2010/main" val="0"/>
                        </a:ext>
                      </a:extLst>
                    </a:blip>
                    <a:srcRect t="6358" b="1797"/>
                    <a:stretch/>
                  </pic:blipFill>
                  <pic:spPr bwMode="auto">
                    <a:xfrm>
                      <a:off x="0" y="0"/>
                      <a:ext cx="3901440" cy="2263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066">
        <w:rPr>
          <w:noProof/>
        </w:rPr>
        <mc:AlternateContent>
          <mc:Choice Requires="wps">
            <w:drawing>
              <wp:anchor distT="0" distB="0" distL="114300" distR="114300" simplePos="0" relativeHeight="251709440" behindDoc="0" locked="0" layoutInCell="1" allowOverlap="1" wp14:anchorId="1543F2B1" wp14:editId="27C45CD3">
                <wp:simplePos x="0" y="0"/>
                <wp:positionH relativeFrom="margin">
                  <wp:align>left</wp:align>
                </wp:positionH>
                <wp:positionV relativeFrom="paragraph">
                  <wp:posOffset>3963035</wp:posOffset>
                </wp:positionV>
                <wp:extent cx="1499870" cy="635"/>
                <wp:effectExtent l="0" t="0" r="5080" b="0"/>
                <wp:wrapSquare wrapText="bothSides"/>
                <wp:docPr id="17" name="Text Box 17"/>
                <wp:cNvGraphicFramePr/>
                <a:graphic xmlns:a="http://schemas.openxmlformats.org/drawingml/2006/main">
                  <a:graphicData uri="http://schemas.microsoft.com/office/word/2010/wordprocessingShape">
                    <wps:wsp>
                      <wps:cNvSpPr txBox="1"/>
                      <wps:spPr>
                        <a:xfrm>
                          <a:off x="0" y="0"/>
                          <a:ext cx="1499870" cy="635"/>
                        </a:xfrm>
                        <a:prstGeom prst="rect">
                          <a:avLst/>
                        </a:prstGeom>
                        <a:solidFill>
                          <a:prstClr val="white"/>
                        </a:solidFill>
                        <a:ln>
                          <a:noFill/>
                        </a:ln>
                      </wps:spPr>
                      <wps:txbx>
                        <w:txbxContent>
                          <w:p w14:paraId="549419C1" w14:textId="01CE409B" w:rsidR="00601F98" w:rsidRPr="00F819AD" w:rsidRDefault="00601F98" w:rsidP="00F819AD">
                            <w:pPr>
                              <w:pStyle w:val="Caption"/>
                              <w:jc w:val="center"/>
                              <w:rPr>
                                <w:rFonts w:ascii="Arial" w:hAnsi="Arial" w:cs="Arial"/>
                                <w:noProof/>
                                <w:sz w:val="22"/>
                                <w:szCs w:val="22"/>
                                <w:vertAlign w:val="superscript"/>
                              </w:rPr>
                            </w:pPr>
                            <w:r w:rsidRPr="00F819AD">
                              <w:rPr>
                                <w:rFonts w:ascii="Arial" w:hAnsi="Arial" w:cs="Arial"/>
                                <w:sz w:val="22"/>
                                <w:szCs w:val="22"/>
                              </w:rPr>
                              <w:t xml:space="preserve">Figure </w:t>
                            </w:r>
                            <w:r>
                              <w:rPr>
                                <w:rFonts w:ascii="Arial" w:hAnsi="Arial" w:cs="Arial"/>
                                <w:sz w:val="22"/>
                                <w:szCs w:val="22"/>
                              </w:rPr>
                              <w:t xml:space="preserve">10 </w:t>
                            </w:r>
                            <w:r>
                              <w:rPr>
                                <w:rFonts w:ascii="Arial" w:hAnsi="Arial" w:cs="Arial"/>
                                <w:sz w:val="22"/>
                                <w:szCs w:val="22"/>
                                <w:vertAlign w:val="superscript"/>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43F2B1" id="Text Box 17" o:spid="_x0000_s1029" type="#_x0000_t202" style="position:absolute;margin-left:0;margin-top:312.05pt;width:118.1pt;height:.05pt;z-index:251709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" stroked="f">
                <v:textbox style="mso-fit-shape-to-text:t" inset="0,0,0,0">
                  <w:txbxContent>
                    <w:p w14:paraId="549419C1" w14:textId="01CE409B" w:rsidR="00601F98" w:rsidRPr="00F819AD" w:rsidRDefault="00601F98" w:rsidP="00F819AD">
                      <w:pPr>
                        <w:pStyle w:val="Caption"/>
                        <w:jc w:val="center"/>
                        <w:rPr>
                          <w:rFonts w:ascii="Arial" w:hAnsi="Arial" w:cs="Arial"/>
                          <w:noProof/>
                          <w:sz w:val="22"/>
                          <w:szCs w:val="22"/>
                          <w:vertAlign w:val="superscript"/>
                        </w:rPr>
                      </w:pPr>
                      <w:r w:rsidRPr="00F819AD">
                        <w:rPr>
                          <w:rFonts w:ascii="Arial" w:hAnsi="Arial" w:cs="Arial"/>
                          <w:sz w:val="22"/>
                          <w:szCs w:val="22"/>
                        </w:rPr>
                        <w:t xml:space="preserve">Figure </w:t>
                      </w:r>
                      <w:r>
                        <w:rPr>
                          <w:rFonts w:ascii="Arial" w:hAnsi="Arial" w:cs="Arial"/>
                          <w:sz w:val="22"/>
                          <w:szCs w:val="22"/>
                        </w:rPr>
                        <w:t xml:space="preserve">10 </w:t>
                      </w:r>
                      <w:r>
                        <w:rPr>
                          <w:rFonts w:ascii="Arial" w:hAnsi="Arial" w:cs="Arial"/>
                          <w:sz w:val="22"/>
                          <w:szCs w:val="22"/>
                          <w:vertAlign w:val="superscript"/>
                        </w:rPr>
                        <w:t>40</w:t>
                      </w:r>
                    </w:p>
                  </w:txbxContent>
                </v:textbox>
                <w10:wrap type="square" anchorx="margin"/>
              </v:shape>
            </w:pict>
          </mc:Fallback>
        </mc:AlternateContent>
      </w:r>
      <w:r w:rsidR="00B95066" w:rsidRPr="00F6022F">
        <w:rPr>
          <w:rFonts w:ascii="Helvetica" w:hAnsi="Helvetica" w:cs="Helvetica"/>
          <w:noProof/>
        </w:rPr>
        <w:drawing>
          <wp:anchor distT="0" distB="0" distL="114300" distR="114300" simplePos="0" relativeHeight="251691008" behindDoc="0" locked="0" layoutInCell="1" allowOverlap="1" wp14:anchorId="3E327F42" wp14:editId="59076E3E">
            <wp:simplePos x="0" y="0"/>
            <wp:positionH relativeFrom="margin">
              <wp:align>left</wp:align>
            </wp:positionH>
            <wp:positionV relativeFrom="paragraph">
              <wp:posOffset>48260</wp:posOffset>
            </wp:positionV>
            <wp:extent cx="1499870" cy="3857625"/>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99870" cy="3857625"/>
                    </a:xfrm>
                    <a:prstGeom prst="rect">
                      <a:avLst/>
                    </a:prstGeom>
                  </pic:spPr>
                </pic:pic>
              </a:graphicData>
            </a:graphic>
            <wp14:sizeRelH relativeFrom="margin">
              <wp14:pctWidth>0</wp14:pctWidth>
            </wp14:sizeRelH>
            <wp14:sizeRelV relativeFrom="margin">
              <wp14:pctHeight>0</wp14:pctHeight>
            </wp14:sizeRelV>
          </wp:anchor>
        </w:drawing>
      </w:r>
      <w:r w:rsidR="00060E2B" w:rsidRPr="00F819AD">
        <w:rPr>
          <w:rFonts w:ascii="Helvetica" w:eastAsia="Helvetica" w:hAnsi="Helvetica" w:cs="Helvetica"/>
          <w:sz w:val="22"/>
          <w:szCs w:val="22"/>
        </w:rPr>
        <w:t xml:space="preserve">While not </w:t>
      </w:r>
      <w:r w:rsidR="00A35B13" w:rsidRPr="00F819AD">
        <w:rPr>
          <w:rFonts w:ascii="Helvetica" w:eastAsia="Helvetica" w:hAnsi="Helvetica" w:cs="Helvetica"/>
          <w:sz w:val="22"/>
          <w:szCs w:val="22"/>
        </w:rPr>
        <w:t>entirely attributed to wealth, income still is a necessary component of wealth building</w:t>
      </w:r>
      <w:r w:rsidR="00D743AD" w:rsidRPr="00F819AD">
        <w:rPr>
          <w:rFonts w:ascii="Helvetica" w:eastAsia="Helvetica" w:hAnsi="Helvetica" w:cs="Helvetica"/>
          <w:sz w:val="22"/>
          <w:szCs w:val="22"/>
        </w:rPr>
        <w:t>. Yet income inequality is</w:t>
      </w:r>
      <w:r w:rsidR="00A64E95" w:rsidRPr="00F819AD">
        <w:rPr>
          <w:rFonts w:ascii="Helvetica" w:eastAsia="Helvetica" w:hAnsi="Helvetica" w:cs="Helvetica"/>
          <w:sz w:val="22"/>
          <w:szCs w:val="22"/>
        </w:rPr>
        <w:t xml:space="preserve"> highly pervasive</w:t>
      </w:r>
      <w:r w:rsidR="00C818EA" w:rsidRPr="00F819AD">
        <w:rPr>
          <w:rFonts w:ascii="Helvetica" w:eastAsia="Helvetica" w:hAnsi="Helvetica" w:cs="Helvetica"/>
          <w:sz w:val="22"/>
          <w:szCs w:val="22"/>
        </w:rPr>
        <w:t xml:space="preserve"> along racial lines</w:t>
      </w:r>
      <w:r w:rsidR="00592580" w:rsidRPr="00F819AD">
        <w:rPr>
          <w:rFonts w:ascii="Helvetica" w:eastAsia="Helvetica" w:hAnsi="Helvetica" w:cs="Helvetica"/>
          <w:sz w:val="22"/>
          <w:szCs w:val="22"/>
        </w:rPr>
        <w:t>,</w:t>
      </w:r>
      <w:r w:rsidR="0071051E" w:rsidRPr="00F819AD">
        <w:rPr>
          <w:rFonts w:ascii="Helvetica" w:eastAsia="Helvetica" w:hAnsi="Helvetica" w:cs="Helvetica"/>
          <w:sz w:val="22"/>
          <w:szCs w:val="22"/>
        </w:rPr>
        <w:t xml:space="preserve"> with </w:t>
      </w:r>
      <w:r w:rsidR="00E03AA3" w:rsidRPr="00F819AD">
        <w:rPr>
          <w:rFonts w:ascii="Helvetica" w:eastAsia="Helvetica" w:hAnsi="Helvetica" w:cs="Helvetica"/>
          <w:sz w:val="22"/>
          <w:szCs w:val="22"/>
        </w:rPr>
        <w:t xml:space="preserve">the median income for whites at </w:t>
      </w:r>
      <w:r w:rsidR="00C06E98" w:rsidRPr="00F819AD">
        <w:rPr>
          <w:rFonts w:ascii="Helvetica" w:eastAsia="Helvetica" w:hAnsi="Helvetica" w:cs="Helvetica"/>
          <w:sz w:val="22"/>
          <w:szCs w:val="22"/>
        </w:rPr>
        <w:t xml:space="preserve">$65,041 in 2016 compared with </w:t>
      </w:r>
      <w:r w:rsidR="00592580" w:rsidRPr="00F819AD">
        <w:rPr>
          <w:rFonts w:ascii="Helvetica" w:eastAsia="Helvetica" w:hAnsi="Helvetica" w:cs="Helvetica"/>
          <w:sz w:val="22"/>
          <w:szCs w:val="22"/>
        </w:rPr>
        <w:t xml:space="preserve">the median income </w:t>
      </w:r>
      <w:r w:rsidR="00271F0C" w:rsidRPr="00F819AD">
        <w:rPr>
          <w:rFonts w:ascii="Helvetica" w:eastAsia="Helvetica" w:hAnsi="Helvetica" w:cs="Helvetica"/>
          <w:sz w:val="22"/>
          <w:szCs w:val="22"/>
        </w:rPr>
        <w:t xml:space="preserve">for </w:t>
      </w:r>
      <w:r w:rsidR="00E70C8A" w:rsidRPr="00F819AD">
        <w:rPr>
          <w:rFonts w:ascii="Helvetica" w:eastAsia="Helvetica" w:hAnsi="Helvetica" w:cs="Helvetica"/>
          <w:sz w:val="22"/>
          <w:szCs w:val="22"/>
        </w:rPr>
        <w:t xml:space="preserve">Hispanics at $47,675 and </w:t>
      </w:r>
      <w:r>
        <w:rPr>
          <w:rFonts w:ascii="Helvetica" w:eastAsia="Helvetica" w:hAnsi="Helvetica" w:cs="Helvetica"/>
          <w:sz w:val="22"/>
          <w:szCs w:val="22"/>
        </w:rPr>
        <w:t>African</w:t>
      </w:r>
      <w:r w:rsidRPr="00F819AD">
        <w:rPr>
          <w:rFonts w:ascii="Helvetica" w:eastAsia="Helvetica" w:hAnsi="Helvetica" w:cs="Helvetica"/>
          <w:sz w:val="22"/>
          <w:szCs w:val="22"/>
        </w:rPr>
        <w:t xml:space="preserve"> </w:t>
      </w:r>
      <w:r w:rsidR="00592580" w:rsidRPr="00F819AD">
        <w:rPr>
          <w:rFonts w:ascii="Helvetica" w:eastAsia="Helvetica" w:hAnsi="Helvetica" w:cs="Helvetica"/>
          <w:sz w:val="22"/>
          <w:szCs w:val="22"/>
        </w:rPr>
        <w:t>American</w:t>
      </w:r>
      <w:r w:rsidR="00E70C8A" w:rsidRPr="00F819AD">
        <w:rPr>
          <w:rFonts w:ascii="Helvetica" w:eastAsia="Helvetica" w:hAnsi="Helvetica" w:cs="Helvetica"/>
          <w:sz w:val="22"/>
          <w:szCs w:val="22"/>
        </w:rPr>
        <w:t xml:space="preserve">s at $39,490. </w:t>
      </w:r>
    </w:p>
    <w:p w14:paraId="4A4ED903" w14:textId="2582C022" w:rsidR="00271F0C" w:rsidRPr="00F819AD" w:rsidRDefault="00AA136D" w:rsidP="00F819AD">
      <w:pPr>
        <w:pStyle w:val="paragraph"/>
        <w:keepNext/>
        <w:spacing w:after="120" w:line="276" w:lineRule="auto"/>
        <w:textAlignment w:val="baseline"/>
        <w:rPr>
          <w:rFonts w:ascii="Helvetica" w:eastAsia="Helvetica" w:hAnsi="Helvetica" w:cs="Helvetica"/>
          <w:sz w:val="22"/>
          <w:szCs w:val="22"/>
        </w:rPr>
      </w:pPr>
      <w:r w:rsidRPr="00F819AD">
        <w:rPr>
          <w:rFonts w:ascii="Helvetica" w:eastAsia="Helvetica" w:hAnsi="Helvetica" w:cs="Helvetica"/>
          <w:sz w:val="22"/>
          <w:szCs w:val="22"/>
        </w:rPr>
        <w:t xml:space="preserve">Homeownership </w:t>
      </w:r>
      <w:r w:rsidR="00150761" w:rsidRPr="00F819AD">
        <w:rPr>
          <w:rFonts w:ascii="Helvetica" w:eastAsia="Helvetica" w:hAnsi="Helvetica" w:cs="Helvetica"/>
          <w:sz w:val="22"/>
          <w:szCs w:val="22"/>
        </w:rPr>
        <w:t>is</w:t>
      </w:r>
      <w:r w:rsidRPr="00F819AD">
        <w:rPr>
          <w:rFonts w:ascii="Helvetica" w:eastAsia="Helvetica" w:hAnsi="Helvetica" w:cs="Helvetica"/>
          <w:sz w:val="22"/>
          <w:szCs w:val="22"/>
        </w:rPr>
        <w:t xml:space="preserve"> a major factor in the perpetuation of the racial wealth divide. </w:t>
      </w:r>
      <w:r w:rsidR="005D2B38" w:rsidRPr="00F819AD">
        <w:rPr>
          <w:rFonts w:ascii="Helvetica" w:eastAsia="Helvetica" w:hAnsi="Helvetica" w:cs="Helvetica"/>
          <w:sz w:val="22"/>
          <w:szCs w:val="22"/>
        </w:rPr>
        <w:t xml:space="preserve">Owning a home is still the primary way most Americans build their personal wealth and when there are great disparities in homeownership, it becomes a large driver in the creation of the wealth gap. According to </w:t>
      </w:r>
      <w:hyperlink r:id="rId39" w:history="1">
        <w:r w:rsidR="005D2B38" w:rsidRPr="00F819AD">
          <w:rPr>
            <w:rStyle w:val="Hyperlink"/>
            <w:rFonts w:ascii="Helvetica" w:eastAsia="Helvetica" w:hAnsi="Helvetica" w:cs="Helvetica"/>
            <w:sz w:val="22"/>
            <w:szCs w:val="22"/>
          </w:rPr>
          <w:t>Brandies University’s Institute on Assets and Social Policy</w:t>
        </w:r>
      </w:hyperlink>
      <w:r w:rsidR="005D2B38" w:rsidRPr="00F819AD">
        <w:rPr>
          <w:rFonts w:ascii="Helvetica" w:eastAsia="Helvetica" w:hAnsi="Helvetica" w:cs="Helvetica"/>
          <w:sz w:val="22"/>
          <w:szCs w:val="22"/>
        </w:rPr>
        <w:t xml:space="preserve">, difference in homeownership </w:t>
      </w:r>
      <w:r w:rsidR="009808D5" w:rsidRPr="00F819AD">
        <w:rPr>
          <w:rFonts w:ascii="Helvetica" w:eastAsia="Helvetica" w:hAnsi="Helvetica" w:cs="Helvetica"/>
          <w:sz w:val="22"/>
          <w:szCs w:val="22"/>
        </w:rPr>
        <w:t>ac</w:t>
      </w:r>
      <w:r w:rsidR="005D2B38" w:rsidRPr="00F819AD">
        <w:rPr>
          <w:rFonts w:ascii="Helvetica" w:eastAsia="Helvetica" w:hAnsi="Helvetica" w:cs="Helvetica"/>
          <w:sz w:val="22"/>
          <w:szCs w:val="22"/>
        </w:rPr>
        <w:t>counts for 27 percent of the racial wealth gap, compared to 20 percent for income and five</w:t>
      </w:r>
      <w:r w:rsidR="00B95066" w:rsidRPr="00F819AD">
        <w:rPr>
          <w:rFonts w:ascii="Helvetica" w:eastAsia="Helvetica" w:hAnsi="Helvetica" w:cs="Helvetica"/>
          <w:sz w:val="22"/>
          <w:szCs w:val="22"/>
        </w:rPr>
        <w:t xml:space="preserve"> </w:t>
      </w:r>
      <w:r w:rsidR="005D2B38" w:rsidRPr="00F819AD">
        <w:rPr>
          <w:rFonts w:ascii="Helvetica" w:eastAsia="Helvetica" w:hAnsi="Helvetica" w:cs="Helvetica"/>
          <w:sz w:val="22"/>
          <w:szCs w:val="22"/>
        </w:rPr>
        <w:t>percent for</w:t>
      </w:r>
      <w:r w:rsidR="000549FF" w:rsidRPr="00F819AD">
        <w:rPr>
          <w:rFonts w:ascii="Helvetica" w:eastAsia="Helvetica" w:hAnsi="Helvetica" w:cs="Helvetica"/>
          <w:sz w:val="22"/>
          <w:szCs w:val="22"/>
        </w:rPr>
        <w:t xml:space="preserve"> </w:t>
      </w:r>
      <w:r w:rsidR="005D2B38" w:rsidRPr="00F819AD">
        <w:rPr>
          <w:rFonts w:ascii="Helvetica" w:eastAsia="Helvetica" w:hAnsi="Helvetica" w:cs="Helvetica"/>
          <w:sz w:val="22"/>
          <w:szCs w:val="22"/>
        </w:rPr>
        <w:t>education</w:t>
      </w:r>
      <w:r w:rsidR="004364E9" w:rsidRPr="00F819AD">
        <w:rPr>
          <w:rFonts w:ascii="Helvetica" w:eastAsia="Helvetica" w:hAnsi="Helvetica" w:cs="Helvetica"/>
          <w:sz w:val="22"/>
          <w:szCs w:val="22"/>
        </w:rPr>
        <w:t>.</w:t>
      </w:r>
      <w:r w:rsidR="003C2A19" w:rsidRPr="00F819AD">
        <w:rPr>
          <w:rStyle w:val="FootnoteReference"/>
          <w:rFonts w:ascii="Helvetica" w:eastAsia="Helvetica" w:hAnsi="Helvetica" w:cs="Helvetica"/>
          <w:sz w:val="22"/>
          <w:szCs w:val="22"/>
        </w:rPr>
        <w:footnoteReference w:id="42"/>
      </w:r>
      <w:r w:rsidR="002D6167" w:rsidRPr="00F819AD">
        <w:rPr>
          <w:rFonts w:ascii="Helvetica" w:eastAsia="Helvetica" w:hAnsi="Helvetica" w:cs="Helvetica"/>
          <w:sz w:val="22"/>
          <w:szCs w:val="22"/>
        </w:rPr>
        <w:t xml:space="preserve"> </w:t>
      </w:r>
      <w:r w:rsidR="004364E9" w:rsidRPr="00F819AD">
        <w:rPr>
          <w:rFonts w:ascii="Helvetica" w:eastAsia="Helvetica" w:hAnsi="Helvetica" w:cs="Helvetica"/>
          <w:sz w:val="22"/>
          <w:szCs w:val="22"/>
        </w:rPr>
        <w:t xml:space="preserve">In </w:t>
      </w:r>
      <w:r w:rsidR="009627D7" w:rsidRPr="00F819AD">
        <w:rPr>
          <w:rFonts w:ascii="Helvetica" w:eastAsia="Helvetica" w:hAnsi="Helvetica" w:cs="Helvetica"/>
          <w:sz w:val="22"/>
          <w:szCs w:val="22"/>
        </w:rPr>
        <w:t>2017,</w:t>
      </w:r>
      <w:r w:rsidR="00675317">
        <w:rPr>
          <w:rFonts w:ascii="Helvetica" w:eastAsia="Helvetica" w:hAnsi="Helvetica" w:cs="Helvetica"/>
          <w:sz w:val="22"/>
          <w:szCs w:val="22"/>
        </w:rPr>
        <w:t xml:space="preserve"> </w:t>
      </w:r>
      <w:r w:rsidR="00835720" w:rsidRPr="00F819AD">
        <w:rPr>
          <w:rFonts w:ascii="Helvetica" w:eastAsia="Helvetica" w:hAnsi="Helvetica" w:cs="Helvetica"/>
          <w:sz w:val="22"/>
          <w:szCs w:val="22"/>
        </w:rPr>
        <w:t>less than half of African Americans (42.7</w:t>
      </w:r>
      <w:r w:rsidR="00C740EA">
        <w:rPr>
          <w:rFonts w:ascii="Helvetica" w:eastAsia="Helvetica" w:hAnsi="Helvetica" w:cs="Helvetica"/>
          <w:sz w:val="22"/>
          <w:szCs w:val="22"/>
        </w:rPr>
        <w:t xml:space="preserve"> percent</w:t>
      </w:r>
      <w:r w:rsidR="00835720" w:rsidRPr="00F819AD">
        <w:rPr>
          <w:rFonts w:ascii="Helvetica" w:eastAsia="Helvetica" w:hAnsi="Helvetica" w:cs="Helvetica"/>
          <w:sz w:val="22"/>
          <w:szCs w:val="22"/>
        </w:rPr>
        <w:t>) were homeowners</w:t>
      </w:r>
      <w:r w:rsidR="003C2A19" w:rsidRPr="00F819AD">
        <w:rPr>
          <w:rStyle w:val="FootnoteReference"/>
          <w:rFonts w:ascii="Helvetica" w:eastAsia="Helvetica" w:hAnsi="Helvetica" w:cs="Helvetica"/>
          <w:color w:val="0563C1" w:themeColor="hyperlink"/>
          <w:sz w:val="22"/>
          <w:szCs w:val="22"/>
          <w:u w:val="single"/>
        </w:rPr>
        <w:footnoteReference w:id="43"/>
      </w:r>
      <w:r w:rsidR="0074744C" w:rsidRPr="00F819AD">
        <w:rPr>
          <w:rFonts w:ascii="Helvetica" w:eastAsia="Helvetica" w:hAnsi="Helvetica" w:cs="Helvetica"/>
          <w:sz w:val="22"/>
          <w:szCs w:val="22"/>
        </w:rPr>
        <w:t xml:space="preserve"> while a clear majority of whites (72</w:t>
      </w:r>
      <w:r w:rsidR="004069A5" w:rsidRPr="00F819AD">
        <w:rPr>
          <w:rFonts w:ascii="Helvetica" w:eastAsia="Helvetica" w:hAnsi="Helvetica" w:cs="Helvetica"/>
          <w:sz w:val="22"/>
          <w:szCs w:val="22"/>
        </w:rPr>
        <w:t>.7</w:t>
      </w:r>
      <w:r w:rsidR="00C740EA">
        <w:rPr>
          <w:rFonts w:ascii="Helvetica" w:eastAsia="Helvetica" w:hAnsi="Helvetica" w:cs="Helvetica"/>
          <w:sz w:val="22"/>
          <w:szCs w:val="22"/>
        </w:rPr>
        <w:t xml:space="preserve"> percent</w:t>
      </w:r>
      <w:r w:rsidR="004069A5" w:rsidRPr="00F819AD">
        <w:rPr>
          <w:rFonts w:ascii="Helvetica" w:eastAsia="Helvetica" w:hAnsi="Helvetica" w:cs="Helvetica"/>
          <w:sz w:val="22"/>
          <w:szCs w:val="22"/>
        </w:rPr>
        <w:t xml:space="preserve">) were homeowners. </w:t>
      </w:r>
    </w:p>
    <w:p w14:paraId="2E44BD64" w14:textId="77777777" w:rsidR="00853CAB" w:rsidRPr="00F6022F" w:rsidRDefault="00853CAB" w:rsidP="00F819AD">
      <w:pPr>
        <w:pStyle w:val="paragraph"/>
        <w:keepNext/>
        <w:spacing w:after="120" w:line="276" w:lineRule="auto"/>
        <w:jc w:val="center"/>
        <w:textAlignment w:val="baseline"/>
        <w:rPr>
          <w:rFonts w:ascii="Helvetica" w:hAnsi="Helvetica" w:cs="Helvetica"/>
          <w:sz w:val="22"/>
          <w:szCs w:val="22"/>
        </w:rPr>
      </w:pPr>
    </w:p>
    <w:p w14:paraId="22FB221E" w14:textId="67244D01" w:rsidR="00024243" w:rsidRDefault="00024243" w:rsidP="00F819AD">
      <w:pPr>
        <w:pStyle w:val="paragraph"/>
        <w:spacing w:after="120" w:line="276" w:lineRule="auto"/>
        <w:textAlignment w:val="baseline"/>
        <w:rPr>
          <w:rStyle w:val="eop"/>
          <w:rFonts w:ascii="Arial" w:eastAsia="Arial" w:hAnsi="Arial" w:cs="Arial"/>
          <w:b/>
          <w:bCs/>
          <w:color w:val="C00000"/>
          <w:sz w:val="36"/>
          <w:szCs w:val="36"/>
        </w:rPr>
      </w:pPr>
    </w:p>
    <w:p w14:paraId="6FB03AE2" w14:textId="74219207" w:rsidR="000549FF" w:rsidRDefault="000549FF" w:rsidP="00F819AD">
      <w:pPr>
        <w:pStyle w:val="paragraph"/>
        <w:spacing w:after="120" w:line="276" w:lineRule="auto"/>
        <w:textAlignment w:val="baseline"/>
        <w:rPr>
          <w:rStyle w:val="eop"/>
          <w:rFonts w:ascii="Arial" w:eastAsia="Arial" w:hAnsi="Arial" w:cs="Arial"/>
          <w:b/>
          <w:bCs/>
          <w:color w:val="C00000"/>
          <w:sz w:val="36"/>
          <w:szCs w:val="36"/>
        </w:rPr>
      </w:pPr>
    </w:p>
    <w:p w14:paraId="54079887" w14:textId="1E594AC8" w:rsidR="002D6167" w:rsidRDefault="000D20D9" w:rsidP="00F819AD">
      <w:pPr>
        <w:pStyle w:val="paragraph"/>
        <w:spacing w:after="120" w:line="276" w:lineRule="auto"/>
        <w:textAlignment w:val="baseline"/>
        <w:rPr>
          <w:rStyle w:val="eop"/>
          <w:rFonts w:ascii="Arial" w:eastAsia="Arial" w:hAnsi="Arial" w:cs="Arial"/>
          <w:b/>
          <w:bCs/>
          <w:color w:val="C00000"/>
          <w:sz w:val="36"/>
          <w:szCs w:val="36"/>
        </w:rPr>
      </w:pPr>
      <w:r w:rsidRPr="00F6022F">
        <w:rPr>
          <w:rFonts w:ascii="Helvetica" w:hAnsi="Helvetica" w:cs="Helvetica"/>
          <w:noProof/>
        </w:rPr>
        <mc:AlternateContent>
          <mc:Choice Requires="wps">
            <w:drawing>
              <wp:anchor distT="0" distB="0" distL="114300" distR="114300" simplePos="0" relativeHeight="251688960" behindDoc="1" locked="0" layoutInCell="1" allowOverlap="1" wp14:anchorId="2ED67054" wp14:editId="683CA56C">
                <wp:simplePos x="0" y="0"/>
                <wp:positionH relativeFrom="margin">
                  <wp:posOffset>1838325</wp:posOffset>
                </wp:positionH>
                <wp:positionV relativeFrom="paragraph">
                  <wp:posOffset>25400</wp:posOffset>
                </wp:positionV>
                <wp:extent cx="3901440" cy="228600"/>
                <wp:effectExtent l="0" t="0" r="3810" b="0"/>
                <wp:wrapTight wrapText="bothSides">
                  <wp:wrapPolygon edited="0">
                    <wp:start x="0" y="0"/>
                    <wp:lineTo x="0" y="19800"/>
                    <wp:lineTo x="21516" y="19800"/>
                    <wp:lineTo x="21516"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3901440" cy="228600"/>
                        </a:xfrm>
                        <a:prstGeom prst="rect">
                          <a:avLst/>
                        </a:prstGeom>
                        <a:solidFill>
                          <a:prstClr val="white"/>
                        </a:solidFill>
                        <a:ln>
                          <a:noFill/>
                        </a:ln>
                      </wps:spPr>
                      <wps:txbx>
                        <w:txbxContent>
                          <w:p w14:paraId="3C891AF5" w14:textId="0004601E" w:rsidR="00601F98" w:rsidRPr="00F6022F" w:rsidRDefault="00601F98" w:rsidP="00F6022F">
                            <w:pPr>
                              <w:pStyle w:val="Caption"/>
                              <w:jc w:val="center"/>
                              <w:rPr>
                                <w:rFonts w:ascii="Arial" w:hAnsi="Arial" w:cs="Arial"/>
                                <w:noProof/>
                                <w:sz w:val="22"/>
                                <w:szCs w:val="22"/>
                              </w:rPr>
                            </w:pPr>
                            <w:r w:rsidRPr="00F6022F">
                              <w:rPr>
                                <w:rFonts w:ascii="Arial" w:hAnsi="Arial" w:cs="Arial"/>
                                <w:sz w:val="22"/>
                                <w:szCs w:val="22"/>
                              </w:rPr>
                              <w:t>Figure 1</w:t>
                            </w:r>
                            <w:r>
                              <w:rPr>
                                <w:rFonts w:ascii="Arial" w:hAnsi="Arial" w:cs="Arial"/>
                                <w:sz w:val="22"/>
                                <w:szCs w:val="22"/>
                              </w:rPr>
                              <w:t>1</w:t>
                            </w:r>
                            <w:r>
                              <w:rPr>
                                <w:rFonts w:ascii="Arial" w:hAnsi="Arial" w:cs="Arial"/>
                                <w:i w:val="0"/>
                                <w:sz w:val="22"/>
                                <w:szCs w:val="22"/>
                                <w:vertAlign w:val="superscript"/>
                              </w:rPr>
                              <w:t xml:space="preserve"> 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67054" id="Text Box 30" o:spid="_x0000_s1030" type="#_x0000_t202" style="position:absolute;margin-left:144.75pt;margin-top:2pt;width:307.2pt;height:18pt;z-index:-251627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" stroked="f">
                <v:textbox inset="0,0,0,0">
                  <w:txbxContent>
                    <w:p w14:paraId="3C891AF5" w14:textId="0004601E" w:rsidR="00601F98" w:rsidRPr="00F6022F" w:rsidRDefault="00601F98" w:rsidP="00F6022F">
                      <w:pPr>
                        <w:pStyle w:val="Caption"/>
                        <w:jc w:val="center"/>
                        <w:rPr>
                          <w:rFonts w:ascii="Arial" w:hAnsi="Arial" w:cs="Arial"/>
                          <w:noProof/>
                          <w:sz w:val="22"/>
                          <w:szCs w:val="22"/>
                        </w:rPr>
                      </w:pPr>
                      <w:r w:rsidRPr="00F6022F">
                        <w:rPr>
                          <w:rFonts w:ascii="Arial" w:hAnsi="Arial" w:cs="Arial"/>
                          <w:sz w:val="22"/>
                          <w:szCs w:val="22"/>
                        </w:rPr>
                        <w:t>Figure 1</w:t>
                      </w:r>
                      <w:r>
                        <w:rPr>
                          <w:rFonts w:ascii="Arial" w:hAnsi="Arial" w:cs="Arial"/>
                          <w:sz w:val="22"/>
                          <w:szCs w:val="22"/>
                        </w:rPr>
                        <w:t>1</w:t>
                      </w:r>
                      <w:r>
                        <w:rPr>
                          <w:rFonts w:ascii="Arial" w:hAnsi="Arial" w:cs="Arial"/>
                          <w:i w:val="0"/>
                          <w:sz w:val="22"/>
                          <w:szCs w:val="22"/>
                          <w:vertAlign w:val="superscript"/>
                        </w:rPr>
                        <w:t xml:space="preserve"> 41</w:t>
                      </w:r>
                    </w:p>
                  </w:txbxContent>
                </v:textbox>
                <w10:wrap type="tight" anchorx="margin"/>
              </v:shape>
            </w:pict>
          </mc:Fallback>
        </mc:AlternateContent>
      </w:r>
    </w:p>
    <w:p w14:paraId="5CE065B2" w14:textId="6D1B2959" w:rsidR="000D20D9" w:rsidRDefault="000D20D9">
      <w:pPr>
        <w:rPr>
          <w:rStyle w:val="eop"/>
          <w:rFonts w:ascii="Arial" w:eastAsia="Arial" w:hAnsi="Arial" w:cs="Arial"/>
          <w:b/>
          <w:bCs/>
          <w:color w:val="C00000"/>
          <w:sz w:val="36"/>
          <w:szCs w:val="36"/>
        </w:rPr>
      </w:pPr>
      <w:r>
        <w:rPr>
          <w:rStyle w:val="eop"/>
          <w:rFonts w:ascii="Arial" w:eastAsia="Arial" w:hAnsi="Arial" w:cs="Arial"/>
          <w:b/>
          <w:bCs/>
          <w:color w:val="C00000"/>
          <w:sz w:val="36"/>
          <w:szCs w:val="36"/>
        </w:rPr>
        <w:br w:type="page"/>
      </w:r>
    </w:p>
    <w:p w14:paraId="7E93F054" w14:textId="6A472712" w:rsidR="00D54AC6" w:rsidRPr="00B21E02" w:rsidRDefault="00D54AC6" w:rsidP="00F819AD">
      <w:pPr>
        <w:pStyle w:val="paragraph"/>
        <w:spacing w:after="120" w:line="276" w:lineRule="auto"/>
        <w:textAlignment w:val="baseline"/>
        <w:rPr>
          <w:rStyle w:val="eop"/>
          <w:rFonts w:ascii="Arial" w:eastAsia="Arial" w:hAnsi="Arial" w:cs="Arial"/>
          <w:b/>
          <w:bCs/>
          <w:color w:val="C00000"/>
          <w:sz w:val="36"/>
          <w:szCs w:val="36"/>
        </w:rPr>
      </w:pPr>
      <w:r w:rsidRPr="2C536D28">
        <w:rPr>
          <w:rStyle w:val="eop"/>
          <w:rFonts w:ascii="Arial" w:eastAsia="Arial" w:hAnsi="Arial" w:cs="Arial"/>
          <w:b/>
          <w:bCs/>
          <w:color w:val="C00000"/>
          <w:sz w:val="36"/>
          <w:szCs w:val="36"/>
        </w:rPr>
        <w:lastRenderedPageBreak/>
        <w:t>How Tax Policy Exac</w:t>
      </w:r>
      <w:r w:rsidR="00156C8A">
        <w:rPr>
          <w:rStyle w:val="eop"/>
          <w:rFonts w:ascii="Arial" w:eastAsia="Arial" w:hAnsi="Arial" w:cs="Arial"/>
          <w:b/>
          <w:bCs/>
          <w:color w:val="C00000"/>
          <w:sz w:val="36"/>
          <w:szCs w:val="36"/>
        </w:rPr>
        <w:t>erbates Racial Wealth Inequalit</w:t>
      </w:r>
      <w:r w:rsidRPr="2C536D28">
        <w:rPr>
          <w:rStyle w:val="eop"/>
          <w:rFonts w:ascii="Arial" w:eastAsia="Arial" w:hAnsi="Arial" w:cs="Arial"/>
          <w:b/>
          <w:bCs/>
          <w:color w:val="C00000"/>
          <w:sz w:val="36"/>
          <w:szCs w:val="36"/>
        </w:rPr>
        <w:t>y</w:t>
      </w:r>
    </w:p>
    <w:p w14:paraId="1538A095" w14:textId="26932845" w:rsidR="00935269" w:rsidRPr="00F819AD" w:rsidRDefault="00853CAB" w:rsidP="00F819AD">
      <w:pPr>
        <w:pStyle w:val="paragraph"/>
        <w:spacing w:after="240" w:line="276" w:lineRule="auto"/>
        <w:textAlignment w:val="baseline"/>
        <w:rPr>
          <w:rStyle w:val="eop"/>
          <w:rFonts w:ascii="Helvetica" w:eastAsiaTheme="minorHAnsi" w:hAnsi="Helvetica" w:cs="Helvetica"/>
          <w:sz w:val="22"/>
          <w:szCs w:val="22"/>
        </w:rPr>
      </w:pPr>
      <w:r w:rsidRPr="00F819AD">
        <w:rPr>
          <w:rFonts w:ascii="Helvetica" w:hAnsi="Helvetica" w:cs="Helvetica"/>
          <w:noProof/>
          <w:sz w:val="22"/>
          <w:szCs w:val="22"/>
        </w:rPr>
        <mc:AlternateContent>
          <mc:Choice Requires="wps">
            <w:drawing>
              <wp:anchor distT="0" distB="0" distL="114300" distR="114300" simplePos="0" relativeHeight="251680768" behindDoc="1" locked="0" layoutInCell="1" allowOverlap="1" wp14:anchorId="6F1C10CB" wp14:editId="448980CC">
                <wp:simplePos x="0" y="0"/>
                <wp:positionH relativeFrom="column">
                  <wp:posOffset>2350770</wp:posOffset>
                </wp:positionH>
                <wp:positionV relativeFrom="paragraph">
                  <wp:posOffset>3782060</wp:posOffset>
                </wp:positionV>
                <wp:extent cx="3473450" cy="220980"/>
                <wp:effectExtent l="0" t="0" r="0" b="7620"/>
                <wp:wrapTight wrapText="bothSides">
                  <wp:wrapPolygon edited="0">
                    <wp:start x="0" y="0"/>
                    <wp:lineTo x="0" y="20483"/>
                    <wp:lineTo x="21442" y="20483"/>
                    <wp:lineTo x="2144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473450" cy="220980"/>
                        </a:xfrm>
                        <a:prstGeom prst="rect">
                          <a:avLst/>
                        </a:prstGeom>
                        <a:solidFill>
                          <a:prstClr val="white"/>
                        </a:solidFill>
                        <a:ln>
                          <a:noFill/>
                        </a:ln>
                      </wps:spPr>
                      <wps:txbx>
                        <w:txbxContent>
                          <w:p w14:paraId="04075AEC" w14:textId="20B47980" w:rsidR="00601F98" w:rsidRPr="00F819AD" w:rsidRDefault="00601F98" w:rsidP="00F6022F">
                            <w:pPr>
                              <w:pStyle w:val="Caption"/>
                              <w:jc w:val="center"/>
                              <w:rPr>
                                <w:rFonts w:ascii="Arial" w:hAnsi="Arial" w:cs="Arial"/>
                                <w:b/>
                                <w:i w:val="0"/>
                                <w:noProof/>
                                <w:color w:val="595959" w:themeColor="text1" w:themeTint="A6"/>
                                <w:sz w:val="22"/>
                                <w:szCs w:val="22"/>
                                <w:vertAlign w:val="superscript"/>
                              </w:rPr>
                            </w:pPr>
                            <w:r w:rsidRPr="00F6022F">
                              <w:rPr>
                                <w:rFonts w:ascii="Arial" w:hAnsi="Arial" w:cs="Arial"/>
                                <w:color w:val="595959" w:themeColor="text1" w:themeTint="A6"/>
                                <w:sz w:val="22"/>
                                <w:szCs w:val="22"/>
                              </w:rPr>
                              <w:t xml:space="preserve">Figure </w:t>
                            </w:r>
                            <w:r>
                              <w:rPr>
                                <w:rFonts w:ascii="Arial" w:hAnsi="Arial" w:cs="Arial"/>
                                <w:color w:val="595959" w:themeColor="text1" w:themeTint="A6"/>
                                <w:sz w:val="22"/>
                                <w:szCs w:val="22"/>
                              </w:rPr>
                              <w:t>11</w:t>
                            </w:r>
                            <w:r>
                              <w:rPr>
                                <w:rFonts w:ascii="Arial" w:hAnsi="Arial" w:cs="Arial"/>
                                <w:i w:val="0"/>
                                <w:color w:val="595959" w:themeColor="text1" w:themeTint="A6"/>
                                <w:sz w:val="22"/>
                                <w:szCs w:val="22"/>
                                <w:vertAlign w:val="superscript"/>
                              </w:rPr>
                              <w:t xml:space="preserve"> 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C10CB" id="Text Box 27" o:spid="_x0000_s1031" type="#_x0000_t202" style="position:absolute;margin-left:185.1pt;margin-top:297.8pt;width:273.5pt;height:17.4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" stroked="f">
                <v:textbox inset="0,0,0,0">
                  <w:txbxContent>
                    <w:p w14:paraId="04075AEC" w14:textId="20B47980" w:rsidR="00601F98" w:rsidRPr="00F819AD" w:rsidRDefault="00601F98" w:rsidP="00F6022F">
                      <w:pPr>
                        <w:pStyle w:val="Caption"/>
                        <w:jc w:val="center"/>
                        <w:rPr>
                          <w:rFonts w:ascii="Arial" w:hAnsi="Arial" w:cs="Arial"/>
                          <w:b/>
                          <w:i w:val="0"/>
                          <w:noProof/>
                          <w:color w:val="595959" w:themeColor="text1" w:themeTint="A6"/>
                          <w:sz w:val="22"/>
                          <w:szCs w:val="22"/>
                          <w:vertAlign w:val="superscript"/>
                        </w:rPr>
                      </w:pPr>
                      <w:r w:rsidRPr="00F6022F">
                        <w:rPr>
                          <w:rFonts w:ascii="Arial" w:hAnsi="Arial" w:cs="Arial"/>
                          <w:color w:val="595959" w:themeColor="text1" w:themeTint="A6"/>
                          <w:sz w:val="22"/>
                          <w:szCs w:val="22"/>
                        </w:rPr>
                        <w:t xml:space="preserve">Figure </w:t>
                      </w:r>
                      <w:r>
                        <w:rPr>
                          <w:rFonts w:ascii="Arial" w:hAnsi="Arial" w:cs="Arial"/>
                          <w:color w:val="595959" w:themeColor="text1" w:themeTint="A6"/>
                          <w:sz w:val="22"/>
                          <w:szCs w:val="22"/>
                        </w:rPr>
                        <w:t>11</w:t>
                      </w:r>
                      <w:r>
                        <w:rPr>
                          <w:rFonts w:ascii="Arial" w:hAnsi="Arial" w:cs="Arial"/>
                          <w:i w:val="0"/>
                          <w:color w:val="595959" w:themeColor="text1" w:themeTint="A6"/>
                          <w:sz w:val="22"/>
                          <w:szCs w:val="22"/>
                          <w:vertAlign w:val="superscript"/>
                        </w:rPr>
                        <w:t xml:space="preserve"> 44</w:t>
                      </w:r>
                    </w:p>
                  </w:txbxContent>
                </v:textbox>
                <w10:wrap type="tight"/>
              </v:shape>
            </w:pict>
          </mc:Fallback>
        </mc:AlternateContent>
      </w:r>
      <w:r w:rsidRPr="00F819AD">
        <w:rPr>
          <w:rFonts w:ascii="Helvetica" w:hAnsi="Helvetica" w:cs="Helvetica"/>
          <w:b/>
          <w:noProof/>
          <w:color w:val="C00000"/>
          <w:sz w:val="22"/>
          <w:szCs w:val="22"/>
        </w:rPr>
        <w:drawing>
          <wp:anchor distT="0" distB="0" distL="114300" distR="114300" simplePos="0" relativeHeight="251650048" behindDoc="1" locked="0" layoutInCell="1" allowOverlap="1" wp14:anchorId="35572B3F" wp14:editId="25951705">
            <wp:simplePos x="0" y="0"/>
            <wp:positionH relativeFrom="margin">
              <wp:posOffset>2392680</wp:posOffset>
            </wp:positionH>
            <wp:positionV relativeFrom="paragraph">
              <wp:posOffset>64135</wp:posOffset>
            </wp:positionV>
            <wp:extent cx="3299460" cy="3589020"/>
            <wp:effectExtent l="57150" t="57150" r="110490" b="106680"/>
            <wp:wrapTight wrapText="bothSides">
              <wp:wrapPolygon edited="0">
                <wp:start x="-125" y="-344"/>
                <wp:lineTo x="-374" y="-229"/>
                <wp:lineTo x="-374" y="21669"/>
                <wp:lineTo x="-125" y="22127"/>
                <wp:lineTo x="21949" y="22127"/>
                <wp:lineTo x="22199" y="21783"/>
                <wp:lineTo x="22199" y="1605"/>
                <wp:lineTo x="21824" y="-115"/>
                <wp:lineTo x="21824" y="-344"/>
                <wp:lineTo x="-125" y="-34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99460" cy="3589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6022F" w:rsidRPr="00F819AD">
        <w:rPr>
          <w:rStyle w:val="eop"/>
          <w:rFonts w:ascii="Helvetica" w:eastAsia="Helvetica" w:hAnsi="Helvetica" w:cs="Helvetica"/>
          <w:sz w:val="22"/>
          <w:szCs w:val="22"/>
        </w:rPr>
        <w:t>W</w:t>
      </w:r>
      <w:r w:rsidR="00881D51" w:rsidRPr="00F819AD">
        <w:rPr>
          <w:rStyle w:val="eop"/>
          <w:rFonts w:ascii="Helvetica" w:eastAsia="Helvetica" w:hAnsi="Helvetica" w:cs="Helvetica"/>
          <w:sz w:val="22"/>
          <w:szCs w:val="22"/>
        </w:rPr>
        <w:t xml:space="preserve">ealth </w:t>
      </w:r>
      <w:r w:rsidR="00A80186" w:rsidRPr="00F819AD">
        <w:rPr>
          <w:rStyle w:val="eop"/>
          <w:rFonts w:ascii="Helvetica" w:eastAsia="Helvetica" w:hAnsi="Helvetica" w:cs="Helvetica"/>
          <w:sz w:val="22"/>
          <w:szCs w:val="22"/>
        </w:rPr>
        <w:t>inequality</w:t>
      </w:r>
      <w:r w:rsidR="00F6022F" w:rsidRPr="00F819AD">
        <w:rPr>
          <w:rStyle w:val="eop"/>
          <w:rFonts w:ascii="Helvetica" w:eastAsia="Helvetica" w:hAnsi="Helvetica" w:cs="Helvetica"/>
          <w:sz w:val="22"/>
          <w:szCs w:val="22"/>
        </w:rPr>
        <w:t xml:space="preserve"> and the racial divide</w:t>
      </w:r>
      <w:r w:rsidR="00A80186" w:rsidRPr="00F819AD">
        <w:rPr>
          <w:rStyle w:val="eop"/>
          <w:rFonts w:ascii="Helvetica" w:eastAsia="Helvetica" w:hAnsi="Helvetica" w:cs="Helvetica"/>
          <w:sz w:val="22"/>
          <w:szCs w:val="22"/>
        </w:rPr>
        <w:t xml:space="preserve"> </w:t>
      </w:r>
      <w:r w:rsidR="00F6022F" w:rsidRPr="00F819AD">
        <w:rPr>
          <w:rStyle w:val="eop"/>
          <w:rFonts w:ascii="Helvetica" w:eastAsia="Helvetica" w:hAnsi="Helvetica" w:cs="Helvetica"/>
          <w:sz w:val="22"/>
          <w:szCs w:val="22"/>
        </w:rPr>
        <w:t>are</w:t>
      </w:r>
      <w:r w:rsidR="00881D51" w:rsidRPr="00F819AD">
        <w:rPr>
          <w:rStyle w:val="eop"/>
          <w:rFonts w:ascii="Helvetica" w:eastAsia="Helvetica" w:hAnsi="Helvetica" w:cs="Helvetica"/>
          <w:sz w:val="22"/>
          <w:szCs w:val="22"/>
        </w:rPr>
        <w:t xml:space="preserve"> pervasive </w:t>
      </w:r>
      <w:r w:rsidR="00F6022F" w:rsidRPr="00F819AD">
        <w:rPr>
          <w:rStyle w:val="eop"/>
          <w:rFonts w:ascii="Helvetica" w:eastAsia="Helvetica" w:hAnsi="Helvetica" w:cs="Helvetica"/>
          <w:sz w:val="22"/>
          <w:szCs w:val="22"/>
        </w:rPr>
        <w:t xml:space="preserve">injustices </w:t>
      </w:r>
      <w:r w:rsidR="00881D51" w:rsidRPr="00F819AD">
        <w:rPr>
          <w:rStyle w:val="eop"/>
          <w:rFonts w:ascii="Helvetica" w:eastAsia="Helvetica" w:hAnsi="Helvetica" w:cs="Helvetica"/>
          <w:sz w:val="22"/>
          <w:szCs w:val="22"/>
        </w:rPr>
        <w:t xml:space="preserve">in this country that has lasted for too long. While </w:t>
      </w:r>
      <w:r w:rsidR="00F6022F" w:rsidRPr="00F819AD">
        <w:rPr>
          <w:rStyle w:val="eop"/>
          <w:rFonts w:ascii="Helvetica" w:eastAsia="Helvetica" w:hAnsi="Helvetica" w:cs="Helvetica"/>
          <w:sz w:val="22"/>
          <w:szCs w:val="22"/>
        </w:rPr>
        <w:t>most of our conversations on Capitol Hill during</w:t>
      </w:r>
      <w:r w:rsidR="00881D51" w:rsidRPr="00F819AD">
        <w:rPr>
          <w:rStyle w:val="eop"/>
          <w:rFonts w:ascii="Helvetica" w:eastAsia="Helvetica" w:hAnsi="Helvetica" w:cs="Helvetica"/>
          <w:sz w:val="22"/>
          <w:szCs w:val="22"/>
        </w:rPr>
        <w:t xml:space="preserve"> the RESULTS International Conference will focus </w:t>
      </w:r>
      <w:r w:rsidR="000D20D9" w:rsidRPr="00F819AD">
        <w:rPr>
          <w:rStyle w:val="eop"/>
          <w:rFonts w:ascii="Helvetica" w:eastAsia="Helvetica" w:hAnsi="Helvetica" w:cs="Helvetica"/>
          <w:sz w:val="22"/>
          <w:szCs w:val="22"/>
        </w:rPr>
        <w:t>other issues</w:t>
      </w:r>
      <w:r w:rsidR="00881D51" w:rsidRPr="00F819AD">
        <w:rPr>
          <w:rStyle w:val="eop"/>
          <w:rFonts w:ascii="Helvetica" w:eastAsia="Helvetica" w:hAnsi="Helvetica" w:cs="Helvetica"/>
          <w:sz w:val="22"/>
          <w:szCs w:val="22"/>
        </w:rPr>
        <w:t>, it is important that we understand how poverty rates and wealth inequality disproportionately affect specific communities</w:t>
      </w:r>
      <w:r w:rsidR="00A80186" w:rsidRPr="00F819AD">
        <w:rPr>
          <w:rStyle w:val="eop"/>
          <w:rFonts w:ascii="Helvetica" w:eastAsia="Helvetica" w:hAnsi="Helvetica" w:cs="Helvetica"/>
          <w:sz w:val="22"/>
          <w:szCs w:val="22"/>
        </w:rPr>
        <w:t xml:space="preserve"> – and, if possible, lay the groundwork for policy work to close the racial wealth divide</w:t>
      </w:r>
      <w:r w:rsidR="00881D51" w:rsidRPr="00F819AD">
        <w:rPr>
          <w:rStyle w:val="eop"/>
          <w:rFonts w:ascii="Helvetica" w:eastAsia="Helvetica" w:hAnsi="Helvetica" w:cs="Helvetica"/>
          <w:sz w:val="22"/>
          <w:szCs w:val="22"/>
        </w:rPr>
        <w:t xml:space="preserve">. Tax fairness is not only important in lifting up all </w:t>
      </w:r>
      <w:r w:rsidR="00935269" w:rsidRPr="00F819AD">
        <w:rPr>
          <w:rStyle w:val="eop"/>
          <w:rFonts w:ascii="Helvetica" w:eastAsia="Helvetica" w:hAnsi="Helvetica" w:cs="Helvetica"/>
          <w:sz w:val="22"/>
          <w:szCs w:val="22"/>
        </w:rPr>
        <w:t>families but</w:t>
      </w:r>
      <w:r w:rsidR="00881D51" w:rsidRPr="00F819AD">
        <w:rPr>
          <w:rStyle w:val="eop"/>
          <w:rFonts w:ascii="Helvetica" w:eastAsia="Helvetica" w:hAnsi="Helvetica" w:cs="Helvetica"/>
          <w:sz w:val="22"/>
          <w:szCs w:val="22"/>
        </w:rPr>
        <w:t xml:space="preserve"> is particularly critical in supporting families of color to move up </w:t>
      </w:r>
      <w:r w:rsidR="000D20D9" w:rsidRPr="00F819AD">
        <w:rPr>
          <w:rStyle w:val="eop"/>
          <w:rFonts w:ascii="Helvetica" w:eastAsia="Helvetica" w:hAnsi="Helvetica" w:cs="Helvetica"/>
          <w:sz w:val="22"/>
          <w:szCs w:val="22"/>
        </w:rPr>
        <w:t>the socio-economic ladder</w:t>
      </w:r>
      <w:r w:rsidR="00881D51"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Prior to t</w:t>
      </w:r>
      <w:r w:rsidR="00881D51" w:rsidRPr="00F819AD">
        <w:rPr>
          <w:rStyle w:val="eop"/>
          <w:rFonts w:ascii="Helvetica" w:eastAsia="Helvetica" w:hAnsi="Helvetica" w:cs="Helvetica"/>
          <w:sz w:val="22"/>
          <w:szCs w:val="22"/>
        </w:rPr>
        <w:t xml:space="preserve">he </w:t>
      </w:r>
      <w:r w:rsidRPr="00F819AD">
        <w:rPr>
          <w:rStyle w:val="eop"/>
          <w:rFonts w:ascii="Helvetica" w:eastAsia="Helvetica" w:hAnsi="Helvetica" w:cs="Helvetica"/>
          <w:sz w:val="22"/>
          <w:szCs w:val="22"/>
        </w:rPr>
        <w:t>passage of</w:t>
      </w:r>
      <w:r w:rsidR="000D20D9" w:rsidRPr="00F819AD">
        <w:rPr>
          <w:rStyle w:val="eop"/>
          <w:rFonts w:ascii="Helvetica" w:eastAsia="Helvetica" w:hAnsi="Helvetica" w:cs="Helvetica"/>
          <w:sz w:val="22"/>
          <w:szCs w:val="22"/>
        </w:rPr>
        <w:t xml:space="preserve"> major federal tax cuts in </w:t>
      </w:r>
      <w:r w:rsidRPr="00F819AD">
        <w:rPr>
          <w:rStyle w:val="eop"/>
          <w:rFonts w:ascii="Helvetica" w:eastAsia="Helvetica" w:hAnsi="Helvetica" w:cs="Helvetica"/>
          <w:sz w:val="22"/>
          <w:szCs w:val="22"/>
        </w:rPr>
        <w:t xml:space="preserve">2017, </w:t>
      </w:r>
      <w:r w:rsidR="000D20D9" w:rsidRPr="00F819AD">
        <w:rPr>
          <w:rStyle w:val="eop"/>
          <w:rFonts w:ascii="Helvetica" w:eastAsia="Helvetica" w:hAnsi="Helvetica" w:cs="Helvetica"/>
          <w:sz w:val="22"/>
          <w:szCs w:val="22"/>
        </w:rPr>
        <w:t xml:space="preserve">the </w:t>
      </w:r>
      <w:r w:rsidR="00881D51" w:rsidRPr="00F819AD">
        <w:rPr>
          <w:rStyle w:val="eop"/>
          <w:rFonts w:ascii="Helvetica" w:eastAsia="Helvetica" w:hAnsi="Helvetica" w:cs="Helvetica"/>
          <w:sz w:val="22"/>
          <w:szCs w:val="22"/>
        </w:rPr>
        <w:t>U.S. tax code already include</w:t>
      </w:r>
      <w:r w:rsidRPr="00F819AD">
        <w:rPr>
          <w:rStyle w:val="eop"/>
          <w:rFonts w:ascii="Helvetica" w:eastAsia="Helvetica" w:hAnsi="Helvetica" w:cs="Helvetica"/>
          <w:sz w:val="22"/>
          <w:szCs w:val="22"/>
        </w:rPr>
        <w:t>d</w:t>
      </w:r>
      <w:r w:rsidR="00881D51" w:rsidRPr="00F819AD">
        <w:rPr>
          <w:rStyle w:val="eop"/>
          <w:rFonts w:ascii="Helvetica" w:eastAsia="Helvetica" w:hAnsi="Helvetica" w:cs="Helvetica"/>
          <w:sz w:val="22"/>
          <w:szCs w:val="22"/>
        </w:rPr>
        <w:t xml:space="preserve"> </w:t>
      </w:r>
      <w:hyperlink r:id="rId41" w:history="1">
        <w:r w:rsidR="00881D51" w:rsidRPr="00F819AD">
          <w:rPr>
            <w:rStyle w:val="Hyperlink"/>
            <w:rFonts w:ascii="Helvetica" w:eastAsia="Helvetica" w:hAnsi="Helvetica" w:cs="Helvetica"/>
            <w:sz w:val="22"/>
            <w:szCs w:val="22"/>
          </w:rPr>
          <w:t>over half</w:t>
        </w:r>
        <w:r w:rsidR="00675317">
          <w:rPr>
            <w:rStyle w:val="Hyperlink"/>
            <w:rFonts w:ascii="Helvetica" w:eastAsia="Helvetica" w:hAnsi="Helvetica" w:cs="Helvetica"/>
            <w:sz w:val="22"/>
            <w:szCs w:val="22"/>
          </w:rPr>
          <w:t xml:space="preserve"> </w:t>
        </w:r>
        <w:r w:rsidR="00881D51" w:rsidRPr="00F819AD">
          <w:rPr>
            <w:rStyle w:val="Hyperlink"/>
            <w:rFonts w:ascii="Helvetica" w:eastAsia="Helvetica" w:hAnsi="Helvetica" w:cs="Helvetica"/>
            <w:sz w:val="22"/>
            <w:szCs w:val="22"/>
          </w:rPr>
          <w:t>a trillion dollars in tax benefits</w:t>
        </w:r>
      </w:hyperlink>
      <w:r w:rsidR="003C2A19" w:rsidRPr="00F819AD">
        <w:rPr>
          <w:rStyle w:val="Hyperlink"/>
          <w:rFonts w:ascii="Helvetica" w:eastAsia="Helvetica" w:hAnsi="Helvetica" w:cs="Helvetica"/>
          <w:sz w:val="22"/>
          <w:szCs w:val="22"/>
        </w:rPr>
        <w:t xml:space="preserve"> </w:t>
      </w:r>
      <w:r w:rsidR="003C2A19" w:rsidRPr="00F819AD">
        <w:rPr>
          <w:rStyle w:val="FootnoteReference"/>
          <w:rFonts w:ascii="Helvetica" w:eastAsia="Helvetica" w:hAnsi="Helvetica" w:cs="Helvetica"/>
          <w:sz w:val="22"/>
          <w:szCs w:val="22"/>
        </w:rPr>
        <w:footnoteReference w:id="44"/>
      </w:r>
      <w:r w:rsidR="003C2A19" w:rsidRPr="00F819AD">
        <w:rPr>
          <w:rStyle w:val="eop"/>
          <w:rFonts w:ascii="Helvetica" w:eastAsia="Helvetica" w:hAnsi="Helvetica" w:cs="Helvetica"/>
          <w:sz w:val="22"/>
          <w:szCs w:val="22"/>
        </w:rPr>
        <w:t xml:space="preserve">(see Figure </w:t>
      </w:r>
      <w:r w:rsidR="00C71868" w:rsidRPr="00F819AD">
        <w:rPr>
          <w:rStyle w:val="eop"/>
          <w:rFonts w:ascii="Helvetica" w:eastAsia="Helvetica" w:hAnsi="Helvetica" w:cs="Helvetica"/>
          <w:sz w:val="22"/>
          <w:szCs w:val="22"/>
        </w:rPr>
        <w:t>11</w:t>
      </w:r>
      <w:r w:rsidR="003C2A19" w:rsidRPr="00F819AD">
        <w:rPr>
          <w:rStyle w:val="eop"/>
          <w:rFonts w:ascii="Helvetica" w:eastAsia="Helvetica" w:hAnsi="Helvetica" w:cs="Helvetica"/>
          <w:sz w:val="22"/>
          <w:szCs w:val="22"/>
        </w:rPr>
        <w:t xml:space="preserve">) </w:t>
      </w:r>
      <w:r w:rsidR="00881D51" w:rsidRPr="00F819AD">
        <w:rPr>
          <w:rStyle w:val="eop"/>
          <w:rFonts w:ascii="Helvetica" w:eastAsia="Helvetica" w:hAnsi="Helvetica" w:cs="Helvetica"/>
          <w:sz w:val="22"/>
          <w:szCs w:val="22"/>
        </w:rPr>
        <w:t>that incentivize households to save and invest. However, lower-income households</w:t>
      </w:r>
      <w:r w:rsidR="00D83331" w:rsidRPr="00F819AD">
        <w:rPr>
          <w:rStyle w:val="eop"/>
          <w:rFonts w:ascii="Helvetica" w:eastAsia="Helvetica" w:hAnsi="Helvetica" w:cs="Helvetica"/>
          <w:sz w:val="22"/>
          <w:szCs w:val="22"/>
        </w:rPr>
        <w:t xml:space="preserve"> and households of color</w:t>
      </w:r>
      <w:r w:rsidR="00881D51" w:rsidRPr="00F819AD">
        <w:rPr>
          <w:rStyle w:val="eop"/>
          <w:rFonts w:ascii="Helvetica" w:eastAsia="Helvetica" w:hAnsi="Helvetica" w:cs="Helvetica"/>
          <w:sz w:val="22"/>
          <w:szCs w:val="22"/>
        </w:rPr>
        <w:t xml:space="preserve"> </w:t>
      </w:r>
      <w:r w:rsidR="00D83331" w:rsidRPr="00F819AD">
        <w:rPr>
          <w:rStyle w:val="eop"/>
          <w:rFonts w:ascii="Helvetica" w:eastAsia="Helvetica" w:hAnsi="Helvetica" w:cs="Helvetica"/>
          <w:sz w:val="22"/>
          <w:szCs w:val="22"/>
        </w:rPr>
        <w:t xml:space="preserve">are largely </w:t>
      </w:r>
      <w:r w:rsidR="000D20D9" w:rsidRPr="00F819AD">
        <w:rPr>
          <w:rStyle w:val="eop"/>
          <w:rFonts w:ascii="Helvetica" w:eastAsia="Helvetica" w:hAnsi="Helvetica" w:cs="Helvetica"/>
          <w:sz w:val="22"/>
          <w:szCs w:val="22"/>
        </w:rPr>
        <w:t xml:space="preserve">excluded from </w:t>
      </w:r>
      <w:r w:rsidR="00D83331" w:rsidRPr="00F819AD">
        <w:rPr>
          <w:rStyle w:val="eop"/>
          <w:rFonts w:ascii="Helvetica" w:eastAsia="Helvetica" w:hAnsi="Helvetica" w:cs="Helvetica"/>
          <w:sz w:val="22"/>
          <w:szCs w:val="22"/>
        </w:rPr>
        <w:t xml:space="preserve">these benefits. </w:t>
      </w:r>
      <w:r w:rsidR="00881D51" w:rsidRPr="00F819AD">
        <w:rPr>
          <w:rStyle w:val="eop"/>
          <w:rFonts w:ascii="Helvetica" w:eastAsia="Helvetica" w:hAnsi="Helvetica" w:cs="Helvetica"/>
          <w:sz w:val="22"/>
          <w:szCs w:val="22"/>
        </w:rPr>
        <w:t xml:space="preserve">For example, </w:t>
      </w:r>
      <w:hyperlink r:id="rId42" w:history="1">
        <w:r w:rsidR="00881D51" w:rsidRPr="00F819AD">
          <w:rPr>
            <w:rStyle w:val="Hyperlink"/>
            <w:rFonts w:ascii="Helvetica" w:eastAsia="Helvetica" w:hAnsi="Helvetica" w:cs="Helvetica"/>
            <w:sz w:val="22"/>
            <w:szCs w:val="22"/>
          </w:rPr>
          <w:t xml:space="preserve">less than half of </w:t>
        </w:r>
        <w:r w:rsidR="000D20D9" w:rsidRPr="00F819AD">
          <w:rPr>
            <w:rStyle w:val="Hyperlink"/>
            <w:rFonts w:ascii="Helvetica" w:eastAsia="Helvetica" w:hAnsi="Helvetica" w:cs="Helvetica"/>
            <w:sz w:val="22"/>
            <w:szCs w:val="22"/>
          </w:rPr>
          <w:t xml:space="preserve">African American </w:t>
        </w:r>
        <w:r w:rsidR="00881D51" w:rsidRPr="00F819AD">
          <w:rPr>
            <w:rStyle w:val="Hyperlink"/>
            <w:rFonts w:ascii="Helvetica" w:eastAsia="Helvetica" w:hAnsi="Helvetica" w:cs="Helvetica"/>
            <w:sz w:val="22"/>
            <w:szCs w:val="22"/>
          </w:rPr>
          <w:t>households own homes</w:t>
        </w:r>
      </w:hyperlink>
      <w:r w:rsidR="00D83331" w:rsidRPr="00F819AD">
        <w:rPr>
          <w:rStyle w:val="eop"/>
          <w:rFonts w:ascii="Helvetica" w:eastAsia="Helvetica" w:hAnsi="Helvetica" w:cs="Helvetica"/>
          <w:sz w:val="22"/>
          <w:szCs w:val="22"/>
        </w:rPr>
        <w:t xml:space="preserve"> and are thus less likely</w:t>
      </w:r>
      <w:r w:rsidR="00881D51" w:rsidRPr="00F819AD">
        <w:rPr>
          <w:rStyle w:val="eop"/>
          <w:rFonts w:ascii="Helvetica" w:eastAsia="Helvetica" w:hAnsi="Helvetica" w:cs="Helvetica"/>
          <w:sz w:val="22"/>
          <w:szCs w:val="22"/>
        </w:rPr>
        <w:t xml:space="preserve"> to take advantage of homeownership tax subsidies</w:t>
      </w:r>
      <w:r w:rsidR="00274C53" w:rsidRPr="00F819AD">
        <w:rPr>
          <w:rStyle w:val="eop"/>
          <w:rFonts w:ascii="Helvetica" w:eastAsia="Helvetica" w:hAnsi="Helvetica" w:cs="Helvetica"/>
          <w:sz w:val="22"/>
          <w:szCs w:val="22"/>
        </w:rPr>
        <w:t xml:space="preserve"> like the </w:t>
      </w:r>
      <w:hyperlink r:id="rId43" w:history="1">
        <w:r w:rsidR="00274C53" w:rsidRPr="00F819AD">
          <w:rPr>
            <w:rStyle w:val="Hyperlink"/>
            <w:rFonts w:ascii="Helvetica" w:eastAsia="Helvetica" w:hAnsi="Helvetica" w:cs="Helvetica"/>
            <w:sz w:val="22"/>
            <w:szCs w:val="22"/>
          </w:rPr>
          <w:t>mortgage interest deduction</w:t>
        </w:r>
      </w:hyperlink>
      <w:r w:rsidR="00274C53" w:rsidRPr="00F819AD">
        <w:rPr>
          <w:rStyle w:val="eop"/>
          <w:rFonts w:ascii="Helvetica" w:eastAsia="Helvetica" w:hAnsi="Helvetica" w:cs="Helvetica"/>
          <w:sz w:val="22"/>
          <w:szCs w:val="22"/>
        </w:rPr>
        <w:t xml:space="preserve"> (MID)</w:t>
      </w:r>
      <w:r w:rsidR="003C2A19" w:rsidRPr="00F819AD">
        <w:rPr>
          <w:rStyle w:val="FootnoteReference"/>
          <w:rFonts w:ascii="Helvetica" w:eastAsia="Helvetica" w:hAnsi="Helvetica" w:cs="Helvetica"/>
          <w:sz w:val="22"/>
          <w:szCs w:val="22"/>
        </w:rPr>
        <w:footnoteReference w:id="45"/>
      </w:r>
      <w:r w:rsidR="00274C53" w:rsidRPr="00F819AD">
        <w:rPr>
          <w:rStyle w:val="eop"/>
          <w:rFonts w:ascii="Helvetica" w:eastAsia="Helvetica" w:hAnsi="Helvetica" w:cs="Helvetica"/>
          <w:sz w:val="22"/>
          <w:szCs w:val="22"/>
        </w:rPr>
        <w:t xml:space="preserve">, which </w:t>
      </w:r>
      <w:r w:rsidR="000D20D9" w:rsidRPr="00F819AD">
        <w:rPr>
          <w:rStyle w:val="eop"/>
          <w:rFonts w:ascii="Helvetica" w:eastAsia="Helvetica" w:hAnsi="Helvetica" w:cs="Helvetica"/>
          <w:sz w:val="22"/>
          <w:szCs w:val="22"/>
        </w:rPr>
        <w:t>allows</w:t>
      </w:r>
      <w:r w:rsidR="00274C53" w:rsidRPr="00F819AD">
        <w:rPr>
          <w:rStyle w:val="eop"/>
          <w:rFonts w:ascii="Helvetica" w:eastAsia="Helvetica" w:hAnsi="Helvetica" w:cs="Helvetica"/>
          <w:sz w:val="22"/>
          <w:szCs w:val="22"/>
        </w:rPr>
        <w:t xml:space="preserve"> existing homeowners </w:t>
      </w:r>
      <w:r w:rsidR="000D20D9" w:rsidRPr="00F819AD">
        <w:rPr>
          <w:rStyle w:val="eop"/>
          <w:rFonts w:ascii="Helvetica" w:eastAsia="Helvetica" w:hAnsi="Helvetica" w:cs="Helvetica"/>
          <w:sz w:val="22"/>
          <w:szCs w:val="22"/>
        </w:rPr>
        <w:t xml:space="preserve">to deduct the interest on their </w:t>
      </w:r>
      <w:r w:rsidR="00274C53" w:rsidRPr="00F819AD">
        <w:rPr>
          <w:rStyle w:val="eop"/>
          <w:rFonts w:ascii="Helvetica" w:eastAsia="Helvetica" w:hAnsi="Helvetica" w:cs="Helvetica"/>
          <w:sz w:val="22"/>
          <w:szCs w:val="22"/>
        </w:rPr>
        <w:t xml:space="preserve">on their mortgage and other home-related costs. A </w:t>
      </w:r>
      <w:r w:rsidRPr="00F819AD">
        <w:rPr>
          <w:rStyle w:val="eop"/>
          <w:rFonts w:ascii="Helvetica" w:eastAsia="Helvetica" w:hAnsi="Helvetica" w:cs="Helvetica"/>
          <w:sz w:val="22"/>
          <w:szCs w:val="22"/>
        </w:rPr>
        <w:t>2017</w:t>
      </w:r>
      <w:r w:rsidR="00274C53" w:rsidRPr="00F819AD">
        <w:rPr>
          <w:rStyle w:val="eop"/>
          <w:rFonts w:ascii="Helvetica" w:eastAsia="Helvetica" w:hAnsi="Helvetica" w:cs="Helvetica"/>
          <w:sz w:val="22"/>
          <w:szCs w:val="22"/>
        </w:rPr>
        <w:t xml:space="preserve"> study by the Institute on Assets and Social Policy found that </w:t>
      </w:r>
      <w:r w:rsidR="00274C53" w:rsidRPr="00F819AD">
        <w:rPr>
          <w:rFonts w:ascii="Helvetica" w:eastAsia="Helvetica" w:hAnsi="Helvetica" w:cs="Helvetica"/>
          <w:sz w:val="22"/>
          <w:szCs w:val="22"/>
        </w:rPr>
        <w:t xml:space="preserve">while African Americans and Hispanics each make up 13 percent of the nation’s households, they receive only six and seven percent </w:t>
      </w:r>
      <w:r w:rsidR="000D20D9" w:rsidRPr="00F819AD">
        <w:rPr>
          <w:rFonts w:ascii="Helvetica" w:eastAsia="Helvetica" w:hAnsi="Helvetica" w:cs="Helvetica"/>
          <w:sz w:val="22"/>
          <w:szCs w:val="22"/>
        </w:rPr>
        <w:t xml:space="preserve">respectively </w:t>
      </w:r>
      <w:r w:rsidR="00274C53" w:rsidRPr="00F819AD">
        <w:rPr>
          <w:rFonts w:ascii="Helvetica" w:eastAsia="Helvetica" w:hAnsi="Helvetica" w:cs="Helvetica"/>
          <w:sz w:val="22"/>
          <w:szCs w:val="22"/>
        </w:rPr>
        <w:t>of the tax benefits</w:t>
      </w:r>
      <w:r w:rsidR="00274C53" w:rsidRPr="00F819AD">
        <w:rPr>
          <w:rStyle w:val="eop"/>
          <w:rFonts w:ascii="Helvetica" w:eastAsia="Helvetica" w:hAnsi="Helvetica" w:cs="Helvetica"/>
          <w:sz w:val="22"/>
          <w:szCs w:val="22"/>
        </w:rPr>
        <w:t xml:space="preserve"> from the mortgage interest deduction.</w:t>
      </w:r>
      <w:r w:rsidR="000D20D9" w:rsidRPr="00F819AD">
        <w:rPr>
          <w:rStyle w:val="FootnoteReference"/>
          <w:rFonts w:ascii="Helvetica" w:eastAsia="Helvetica" w:hAnsi="Helvetica" w:cs="Helvetica"/>
          <w:sz w:val="22"/>
          <w:szCs w:val="22"/>
        </w:rPr>
        <w:footnoteReference w:id="46"/>
      </w:r>
      <w:r w:rsidR="000D20D9" w:rsidRPr="00F819AD">
        <w:rPr>
          <w:rStyle w:val="eop"/>
          <w:rFonts w:ascii="Helvetica" w:eastAsia="Helvetica" w:hAnsi="Helvetica" w:cs="Helvetica"/>
          <w:sz w:val="22"/>
          <w:szCs w:val="22"/>
        </w:rPr>
        <w:t xml:space="preserve"> </w:t>
      </w:r>
      <w:r w:rsidR="00D83331" w:rsidRPr="00F819AD">
        <w:rPr>
          <w:rStyle w:val="eop"/>
          <w:rFonts w:ascii="Helvetica" w:eastAsia="Helvetica" w:hAnsi="Helvetica" w:cs="Helvetica"/>
          <w:sz w:val="22"/>
          <w:szCs w:val="22"/>
        </w:rPr>
        <w:t xml:space="preserve">Consequently, the MID serves as </w:t>
      </w:r>
      <w:hyperlink r:id="rId44" w:history="1">
        <w:r w:rsidR="00D83331" w:rsidRPr="00F819AD">
          <w:rPr>
            <w:rStyle w:val="Hyperlink"/>
            <w:rFonts w:ascii="Helvetica" w:eastAsia="Helvetica" w:hAnsi="Helvetica" w:cs="Helvetica"/>
            <w:sz w:val="22"/>
            <w:szCs w:val="22"/>
          </w:rPr>
          <w:t>one of many examples</w:t>
        </w:r>
      </w:hyperlink>
      <w:r w:rsidR="00D83331" w:rsidRPr="00F819AD">
        <w:rPr>
          <w:rStyle w:val="eop"/>
          <w:rFonts w:ascii="Helvetica" w:eastAsia="Helvetica" w:hAnsi="Helvetica" w:cs="Helvetica"/>
          <w:sz w:val="22"/>
          <w:szCs w:val="22"/>
        </w:rPr>
        <w:t xml:space="preserve"> in which the tax code is </w:t>
      </w:r>
      <w:r w:rsidR="00D83331" w:rsidRPr="00F819AD">
        <w:rPr>
          <w:rStyle w:val="eop"/>
          <w:rFonts w:ascii="Helvetica" w:eastAsia="Helvetica" w:hAnsi="Helvetica" w:cs="Helvetica"/>
          <w:sz w:val="22"/>
          <w:szCs w:val="22"/>
        </w:rPr>
        <w:lastRenderedPageBreak/>
        <w:t xml:space="preserve">structured in an ‘upside-down’ manner where those who </w:t>
      </w:r>
      <w:r w:rsidR="009B3FF8" w:rsidRPr="00F819AD">
        <w:rPr>
          <w:rStyle w:val="eop"/>
          <w:rFonts w:ascii="Helvetica" w:eastAsia="Helvetica" w:hAnsi="Helvetica" w:cs="Helvetica"/>
          <w:sz w:val="22"/>
          <w:szCs w:val="22"/>
        </w:rPr>
        <w:t>have the least to gain benefit the most,</w:t>
      </w:r>
      <w:r w:rsidR="00D83331" w:rsidRPr="00F819AD">
        <w:rPr>
          <w:rStyle w:val="eop"/>
          <w:rFonts w:ascii="Helvetica" w:eastAsia="Helvetica" w:hAnsi="Helvetica" w:cs="Helvetica"/>
          <w:sz w:val="22"/>
          <w:szCs w:val="22"/>
        </w:rPr>
        <w:t xml:space="preserve"> while those with the least </w:t>
      </w:r>
      <w:r w:rsidR="009B3FF8" w:rsidRPr="00F819AD">
        <w:rPr>
          <w:rStyle w:val="eop"/>
          <w:rFonts w:ascii="Helvetica" w:eastAsia="Helvetica" w:hAnsi="Helvetica" w:cs="Helvetica"/>
          <w:sz w:val="22"/>
          <w:szCs w:val="22"/>
        </w:rPr>
        <w:t xml:space="preserve">gain </w:t>
      </w:r>
      <w:r w:rsidR="000D20D9" w:rsidRPr="00F819AD">
        <w:rPr>
          <w:rStyle w:val="eop"/>
          <w:rFonts w:ascii="Helvetica" w:eastAsia="Helvetica" w:hAnsi="Helvetica" w:cs="Helvetica"/>
          <w:sz w:val="22"/>
          <w:szCs w:val="22"/>
        </w:rPr>
        <w:t xml:space="preserve">much </w:t>
      </w:r>
      <w:r w:rsidR="00D83331" w:rsidRPr="00F819AD">
        <w:rPr>
          <w:rStyle w:val="eop"/>
          <w:rFonts w:ascii="Helvetica" w:eastAsia="Helvetica" w:hAnsi="Helvetica" w:cs="Helvetica"/>
          <w:sz w:val="22"/>
          <w:szCs w:val="22"/>
        </w:rPr>
        <w:t>less.</w:t>
      </w:r>
      <w:r w:rsidR="003C2A19" w:rsidRPr="00F819AD">
        <w:rPr>
          <w:rStyle w:val="FootnoteReference"/>
          <w:rFonts w:ascii="Helvetica" w:eastAsia="Helvetica" w:hAnsi="Helvetica" w:cs="Helvetica"/>
          <w:sz w:val="22"/>
          <w:szCs w:val="22"/>
        </w:rPr>
        <w:footnoteReference w:id="47"/>
      </w:r>
    </w:p>
    <w:p w14:paraId="629D272E" w14:textId="711CF96D" w:rsidR="003C2A19" w:rsidRPr="00F819AD" w:rsidRDefault="00C550D1" w:rsidP="00F819AD">
      <w:pPr>
        <w:pStyle w:val="paragraph"/>
        <w:spacing w:after="120" w:line="276" w:lineRule="auto"/>
        <w:textAlignment w:val="baseline"/>
        <w:rPr>
          <w:rStyle w:val="eop"/>
          <w:rFonts w:ascii="Helvetica" w:eastAsia="Helvetica" w:hAnsi="Helvetica" w:cs="Helvetica"/>
          <w:b/>
          <w:sz w:val="28"/>
          <w:szCs w:val="28"/>
        </w:rPr>
      </w:pPr>
      <w:r w:rsidRPr="00F819AD">
        <w:rPr>
          <w:rStyle w:val="eop"/>
          <w:rFonts w:ascii="Helvetica" w:eastAsia="Helvetica" w:hAnsi="Helvetica" w:cs="Helvetica"/>
          <w:b/>
          <w:sz w:val="28"/>
          <w:szCs w:val="28"/>
        </w:rPr>
        <w:t>The 2017 Tax Cuts and Jobs Act</w:t>
      </w:r>
    </w:p>
    <w:p w14:paraId="2F47EAD6" w14:textId="584C180C" w:rsidR="00B21369" w:rsidRPr="00F819AD" w:rsidRDefault="003C2A19" w:rsidP="00F819AD">
      <w:pPr>
        <w:pStyle w:val="paragraph"/>
        <w:spacing w:after="120" w:line="276" w:lineRule="auto"/>
        <w:textAlignment w:val="baseline"/>
        <w:rPr>
          <w:rStyle w:val="eop"/>
          <w:rFonts w:ascii="Helvetica" w:eastAsiaTheme="minorHAnsi" w:hAnsi="Helvetica" w:cs="Helvetica"/>
          <w:sz w:val="22"/>
          <w:szCs w:val="22"/>
        </w:rPr>
      </w:pPr>
      <w:r w:rsidRPr="00F819AD">
        <w:rPr>
          <w:rStyle w:val="eop"/>
          <w:rFonts w:ascii="Helvetica" w:eastAsia="Helvetica" w:hAnsi="Helvetica" w:cs="Helvetica"/>
          <w:sz w:val="22"/>
          <w:szCs w:val="22"/>
        </w:rPr>
        <w:t>When done right</w:t>
      </w:r>
      <w:r w:rsidR="00935269" w:rsidRPr="00F819AD">
        <w:rPr>
          <w:rStyle w:val="eop"/>
          <w:rFonts w:ascii="Helvetica" w:eastAsia="Helvetica" w:hAnsi="Helvetica" w:cs="Helvetica"/>
          <w:sz w:val="22"/>
          <w:szCs w:val="22"/>
        </w:rPr>
        <w:t xml:space="preserve">, tax policy can empower all Americans to save, invest, and build wealth. </w:t>
      </w:r>
      <w:r w:rsidR="00274C53" w:rsidRPr="00F819AD">
        <w:rPr>
          <w:rStyle w:val="eop"/>
          <w:rFonts w:ascii="Helvetica" w:eastAsia="Helvetica" w:hAnsi="Helvetica" w:cs="Helvetica"/>
          <w:sz w:val="22"/>
          <w:szCs w:val="22"/>
        </w:rPr>
        <w:t xml:space="preserve">Unfortunately, the new </w:t>
      </w:r>
      <w:hyperlink r:id="rId45" w:history="1">
        <w:r w:rsidR="00274C53" w:rsidRPr="00F819AD">
          <w:rPr>
            <w:rStyle w:val="Hyperlink"/>
            <w:rFonts w:ascii="Helvetica" w:eastAsia="Helvetica" w:hAnsi="Helvetica" w:cs="Helvetica"/>
            <w:sz w:val="22"/>
            <w:szCs w:val="22"/>
          </w:rPr>
          <w:t>Tax Cuts and Jobs Act</w:t>
        </w:r>
      </w:hyperlink>
      <w:r w:rsidR="00274C53" w:rsidRPr="00F819AD">
        <w:rPr>
          <w:rStyle w:val="eop"/>
          <w:rFonts w:ascii="Helvetica" w:eastAsia="Helvetica" w:hAnsi="Helvetica" w:cs="Helvetica"/>
          <w:sz w:val="22"/>
          <w:szCs w:val="22"/>
        </w:rPr>
        <w:t xml:space="preserve"> </w:t>
      </w:r>
      <w:r w:rsidR="00F6022F" w:rsidRPr="00F819AD">
        <w:rPr>
          <w:rStyle w:val="eop"/>
          <w:rFonts w:ascii="Helvetica" w:eastAsia="Helvetica" w:hAnsi="Helvetica" w:cs="Helvetica"/>
          <w:sz w:val="22"/>
          <w:szCs w:val="22"/>
        </w:rPr>
        <w:t xml:space="preserve">(TCJA) </w:t>
      </w:r>
      <w:r w:rsidR="00274C53" w:rsidRPr="00F819AD">
        <w:rPr>
          <w:rStyle w:val="eop"/>
          <w:rFonts w:ascii="Helvetica" w:eastAsia="Helvetica" w:hAnsi="Helvetica" w:cs="Helvetica"/>
          <w:sz w:val="22"/>
          <w:szCs w:val="22"/>
        </w:rPr>
        <w:t>passed by Congress in 2017 will likely exacerbate racial wealth inequality and further perpetuate an inequitable, “upside-down” tax code</w:t>
      </w:r>
      <w:r w:rsidR="002938EC" w:rsidRPr="00F819AD">
        <w:rPr>
          <w:rStyle w:val="eop"/>
          <w:rFonts w:ascii="Helvetica" w:eastAsia="Helvetica" w:hAnsi="Helvetica" w:cs="Helvetica"/>
          <w:sz w:val="22"/>
          <w:szCs w:val="22"/>
        </w:rPr>
        <w:t>, while also</w:t>
      </w:r>
      <w:r w:rsidR="00F6022F" w:rsidRPr="00F819AD">
        <w:rPr>
          <w:rStyle w:val="eop"/>
          <w:rFonts w:ascii="Helvetica" w:eastAsia="Helvetica" w:hAnsi="Helvetica" w:cs="Helvetica"/>
          <w:sz w:val="22"/>
          <w:szCs w:val="22"/>
        </w:rPr>
        <w:t xml:space="preserve"> putting investments in anti-poverty policies at risk</w:t>
      </w:r>
      <w:r w:rsidR="00274C53" w:rsidRPr="00F819AD">
        <w:rPr>
          <w:rStyle w:val="eop"/>
          <w:rFonts w:ascii="Helvetica" w:eastAsia="Helvetica" w:hAnsi="Helvetica" w:cs="Helvetica"/>
          <w:sz w:val="22"/>
          <w:szCs w:val="22"/>
        </w:rPr>
        <w:t xml:space="preserve">. </w:t>
      </w:r>
    </w:p>
    <w:p w14:paraId="71217E02" w14:textId="1A95DD12" w:rsidR="002938EC" w:rsidRPr="00F819AD" w:rsidRDefault="002D6167" w:rsidP="00F819AD">
      <w:pPr>
        <w:pStyle w:val="paragraph"/>
        <w:spacing w:after="120" w:line="276" w:lineRule="auto"/>
        <w:textAlignment w:val="baseline"/>
        <w:rPr>
          <w:rStyle w:val="eop"/>
          <w:rFonts w:ascii="Helvetica" w:eastAsia="Helvetica" w:hAnsi="Helvetica" w:cs="Helvetica"/>
          <w:sz w:val="22"/>
          <w:szCs w:val="22"/>
        </w:rPr>
      </w:pPr>
      <w:r w:rsidRPr="00F819AD">
        <w:rPr>
          <w:rFonts w:ascii="Helvetica" w:hAnsi="Helvetica" w:cs="Helvetica"/>
          <w:noProof/>
          <w:sz w:val="22"/>
          <w:szCs w:val="22"/>
        </w:rPr>
        <mc:AlternateContent>
          <mc:Choice Requires="wps">
            <w:drawing>
              <wp:anchor distT="0" distB="0" distL="114300" distR="114300" simplePos="0" relativeHeight="251675648" behindDoc="1" locked="0" layoutInCell="1" allowOverlap="1" wp14:anchorId="34A7C78E" wp14:editId="50FD583A">
                <wp:simplePos x="0" y="0"/>
                <wp:positionH relativeFrom="column">
                  <wp:posOffset>3057525</wp:posOffset>
                </wp:positionH>
                <wp:positionV relativeFrom="paragraph">
                  <wp:posOffset>3007360</wp:posOffset>
                </wp:positionV>
                <wp:extent cx="3296285" cy="200025"/>
                <wp:effectExtent l="0" t="0" r="0" b="9525"/>
                <wp:wrapTight wrapText="bothSides">
                  <wp:wrapPolygon edited="0">
                    <wp:start x="0" y="0"/>
                    <wp:lineTo x="0" y="20571"/>
                    <wp:lineTo x="21471" y="20571"/>
                    <wp:lineTo x="2147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296285" cy="200025"/>
                        </a:xfrm>
                        <a:prstGeom prst="rect">
                          <a:avLst/>
                        </a:prstGeom>
                        <a:solidFill>
                          <a:prstClr val="white"/>
                        </a:solidFill>
                        <a:ln>
                          <a:noFill/>
                        </a:ln>
                      </wps:spPr>
                      <wps:txbx>
                        <w:txbxContent>
                          <w:p w14:paraId="54B2C1E7" w14:textId="616804B0" w:rsidR="00601F98" w:rsidRPr="00F819AD" w:rsidRDefault="00601F98" w:rsidP="000B6A43">
                            <w:pPr>
                              <w:pStyle w:val="Caption"/>
                              <w:jc w:val="center"/>
                              <w:rPr>
                                <w:rFonts w:ascii="Arial" w:eastAsia="Times New Roman" w:hAnsi="Arial" w:cs="Arial"/>
                                <w:i w:val="0"/>
                                <w:noProof/>
                                <w:sz w:val="22"/>
                                <w:szCs w:val="22"/>
                                <w:vertAlign w:val="superscript"/>
                              </w:rPr>
                            </w:pPr>
                            <w:r w:rsidRPr="000924A0">
                              <w:rPr>
                                <w:rFonts w:ascii="Arial" w:hAnsi="Arial" w:cs="Arial"/>
                                <w:sz w:val="22"/>
                                <w:szCs w:val="22"/>
                              </w:rPr>
                              <w:t xml:space="preserve">Figure </w:t>
                            </w:r>
                            <w:r>
                              <w:rPr>
                                <w:rFonts w:ascii="Arial" w:hAnsi="Arial" w:cs="Arial"/>
                                <w:sz w:val="22"/>
                                <w:szCs w:val="22"/>
                              </w:rPr>
                              <w:t xml:space="preserve">12 </w:t>
                            </w:r>
                            <w:r>
                              <w:rPr>
                                <w:rFonts w:ascii="Arial" w:hAnsi="Arial" w:cs="Arial"/>
                                <w:i w:val="0"/>
                                <w:sz w:val="22"/>
                                <w:szCs w:val="22"/>
                                <w:vertAlign w:val="superscript"/>
                              </w:rPr>
                              <w:t>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7C78E" id="Text Box 18" o:spid="_x0000_s1032" type="#_x0000_t202" style="position:absolute;margin-left:240.75pt;margin-top:236.8pt;width:259.55pt;height:15.7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" stroked="f">
                <v:textbox inset="0,0,0,0">
                  <w:txbxContent>
                    <w:p w14:paraId="54B2C1E7" w14:textId="616804B0" w:rsidR="00601F98" w:rsidRPr="00F819AD" w:rsidRDefault="00601F98" w:rsidP="000B6A43">
                      <w:pPr>
                        <w:pStyle w:val="Caption"/>
                        <w:jc w:val="center"/>
                        <w:rPr>
                          <w:rFonts w:ascii="Arial" w:eastAsia="Times New Roman" w:hAnsi="Arial" w:cs="Arial"/>
                          <w:i w:val="0"/>
                          <w:noProof/>
                          <w:sz w:val="22"/>
                          <w:szCs w:val="22"/>
                          <w:vertAlign w:val="superscript"/>
                        </w:rPr>
                      </w:pPr>
                      <w:r w:rsidRPr="000924A0">
                        <w:rPr>
                          <w:rFonts w:ascii="Arial" w:hAnsi="Arial" w:cs="Arial"/>
                          <w:sz w:val="22"/>
                          <w:szCs w:val="22"/>
                        </w:rPr>
                        <w:t xml:space="preserve">Figure </w:t>
                      </w:r>
                      <w:r>
                        <w:rPr>
                          <w:rFonts w:ascii="Arial" w:hAnsi="Arial" w:cs="Arial"/>
                          <w:sz w:val="22"/>
                          <w:szCs w:val="22"/>
                        </w:rPr>
                        <w:t xml:space="preserve">12 </w:t>
                      </w:r>
                      <w:r>
                        <w:rPr>
                          <w:rFonts w:ascii="Arial" w:hAnsi="Arial" w:cs="Arial"/>
                          <w:i w:val="0"/>
                          <w:sz w:val="22"/>
                          <w:szCs w:val="22"/>
                          <w:vertAlign w:val="superscript"/>
                        </w:rPr>
                        <w:t>53</w:t>
                      </w:r>
                    </w:p>
                  </w:txbxContent>
                </v:textbox>
                <w10:wrap type="tight"/>
              </v:shape>
            </w:pict>
          </mc:Fallback>
        </mc:AlternateContent>
      </w:r>
      <w:r w:rsidRPr="00F819AD">
        <w:rPr>
          <w:rFonts w:ascii="Helvetica" w:hAnsi="Helvetica" w:cs="Helvetica"/>
          <w:noProof/>
          <w:sz w:val="22"/>
          <w:szCs w:val="22"/>
        </w:rPr>
        <w:drawing>
          <wp:anchor distT="0" distB="0" distL="114300" distR="114300" simplePos="0" relativeHeight="251654144" behindDoc="1" locked="0" layoutInCell="1" allowOverlap="1" wp14:anchorId="2ABB5831" wp14:editId="0500E966">
            <wp:simplePos x="0" y="0"/>
            <wp:positionH relativeFrom="column">
              <wp:posOffset>2952750</wp:posOffset>
            </wp:positionH>
            <wp:positionV relativeFrom="paragraph">
              <wp:posOffset>12700</wp:posOffset>
            </wp:positionV>
            <wp:extent cx="3488055" cy="2876550"/>
            <wp:effectExtent l="57150" t="57150" r="112395" b="114300"/>
            <wp:wrapTight wrapText="bothSides">
              <wp:wrapPolygon edited="0">
                <wp:start x="-118" y="-429"/>
                <wp:lineTo x="-354" y="-286"/>
                <wp:lineTo x="-354" y="21743"/>
                <wp:lineTo x="-118" y="22315"/>
                <wp:lineTo x="21942" y="22315"/>
                <wp:lineTo x="22178" y="20456"/>
                <wp:lineTo x="22178" y="2003"/>
                <wp:lineTo x="21824" y="-143"/>
                <wp:lineTo x="21824" y="-429"/>
                <wp:lineTo x="-118" y="-429"/>
              </wp:wrapPolygon>
            </wp:wrapTight>
            <wp:docPr id="1617449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3488055" cy="28765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8EC" w:rsidRPr="00F819AD">
        <w:rPr>
          <w:rFonts w:ascii="Helvetica" w:hAnsi="Helvetica" w:cs="Helvetica"/>
          <w:noProof/>
          <w:sz w:val="22"/>
          <w:szCs w:val="22"/>
        </w:rPr>
        <w:t>The TCJA</w:t>
      </w:r>
      <w:r w:rsidR="00B21369" w:rsidRPr="00F819AD">
        <w:rPr>
          <w:rStyle w:val="eop"/>
          <w:rFonts w:ascii="Helvetica" w:eastAsia="Helvetica" w:hAnsi="Helvetica" w:cs="Helvetica"/>
          <w:sz w:val="22"/>
          <w:szCs w:val="22"/>
        </w:rPr>
        <w:t xml:space="preserve"> represents the largest one-time reduction in the corporate </w:t>
      </w:r>
      <w:r w:rsidR="002938EC" w:rsidRPr="00F819AD">
        <w:rPr>
          <w:rStyle w:val="eop"/>
          <w:rFonts w:ascii="Helvetica" w:eastAsia="Helvetica" w:hAnsi="Helvetica" w:cs="Helvetica"/>
          <w:sz w:val="22"/>
          <w:szCs w:val="22"/>
        </w:rPr>
        <w:t xml:space="preserve">income </w:t>
      </w:r>
      <w:r w:rsidR="00B21369" w:rsidRPr="00F819AD">
        <w:rPr>
          <w:rStyle w:val="eop"/>
          <w:rFonts w:ascii="Helvetica" w:eastAsia="Helvetica" w:hAnsi="Helvetica" w:cs="Helvetica"/>
          <w:sz w:val="22"/>
          <w:szCs w:val="22"/>
        </w:rPr>
        <w:t>tax rate in U.S. history, from 35 percent down to 21 percent</w:t>
      </w:r>
      <w:r w:rsidR="002938EC" w:rsidRPr="00F819AD">
        <w:rPr>
          <w:rStyle w:val="eop"/>
          <w:rFonts w:ascii="Helvetica" w:eastAsia="Helvetica" w:hAnsi="Helvetica" w:cs="Helvetica"/>
          <w:sz w:val="22"/>
          <w:szCs w:val="22"/>
        </w:rPr>
        <w:t>.</w:t>
      </w:r>
      <w:r w:rsidR="00B21369" w:rsidRPr="00F819AD">
        <w:rPr>
          <w:rStyle w:val="FootnoteReference"/>
          <w:rFonts w:ascii="Helvetica" w:eastAsia="Helvetica" w:hAnsi="Helvetica" w:cs="Helvetica"/>
          <w:sz w:val="22"/>
          <w:szCs w:val="22"/>
        </w:rPr>
        <w:footnoteReference w:id="48"/>
      </w:r>
      <w:r w:rsidR="00B21369" w:rsidRPr="00F819AD">
        <w:rPr>
          <w:rStyle w:val="eop"/>
          <w:rFonts w:ascii="Helvetica" w:eastAsia="Helvetica" w:hAnsi="Helvetica" w:cs="Helvetica"/>
          <w:sz w:val="22"/>
          <w:szCs w:val="22"/>
        </w:rPr>
        <w:t xml:space="preserve"> The new changes to the tax code under the law </w:t>
      </w:r>
      <w:r w:rsidR="002938EC" w:rsidRPr="00F819AD">
        <w:rPr>
          <w:rStyle w:val="eop"/>
          <w:rFonts w:ascii="Helvetica" w:eastAsia="Helvetica" w:hAnsi="Helvetica" w:cs="Helvetica"/>
          <w:sz w:val="22"/>
          <w:szCs w:val="22"/>
        </w:rPr>
        <w:t xml:space="preserve">also </w:t>
      </w:r>
      <w:r w:rsidR="00B21369" w:rsidRPr="00F819AD">
        <w:rPr>
          <w:rStyle w:val="eop"/>
          <w:rFonts w:ascii="Helvetica" w:eastAsia="Helvetica" w:hAnsi="Helvetica" w:cs="Helvetica"/>
          <w:sz w:val="22"/>
          <w:szCs w:val="22"/>
        </w:rPr>
        <w:t>include a larger tax break to the wealthy with incomes over $500,000</w:t>
      </w:r>
      <w:r w:rsidR="002938EC" w:rsidRPr="00F819AD">
        <w:rPr>
          <w:rStyle w:val="eop"/>
          <w:rFonts w:ascii="Helvetica" w:eastAsia="Helvetica" w:hAnsi="Helvetica" w:cs="Helvetica"/>
          <w:sz w:val="22"/>
          <w:szCs w:val="22"/>
        </w:rPr>
        <w:t xml:space="preserve"> and </w:t>
      </w:r>
      <w:r w:rsidR="00B21369" w:rsidRPr="00F819AD">
        <w:rPr>
          <w:rStyle w:val="eop"/>
          <w:rFonts w:ascii="Helvetica" w:eastAsia="Helvetica" w:hAnsi="Helvetica" w:cs="Helvetica"/>
          <w:sz w:val="22"/>
          <w:szCs w:val="22"/>
        </w:rPr>
        <w:t xml:space="preserve">a limit on deductions to $10,000 in state and local property taxes. In addition, the individual health insurance mandate </w:t>
      </w:r>
      <w:r w:rsidR="002938EC" w:rsidRPr="00F819AD">
        <w:rPr>
          <w:rStyle w:val="eop"/>
          <w:rFonts w:ascii="Helvetica" w:eastAsia="Helvetica" w:hAnsi="Helvetica" w:cs="Helvetica"/>
          <w:sz w:val="22"/>
          <w:szCs w:val="22"/>
        </w:rPr>
        <w:t xml:space="preserve">under the Affordable Care Act </w:t>
      </w:r>
      <w:r w:rsidR="00B21369" w:rsidRPr="00F819AD">
        <w:rPr>
          <w:rStyle w:val="eop"/>
          <w:rFonts w:ascii="Helvetica" w:eastAsia="Helvetica" w:hAnsi="Helvetica" w:cs="Helvetica"/>
          <w:sz w:val="22"/>
          <w:szCs w:val="22"/>
        </w:rPr>
        <w:t>will be eliminated in 2019 under the new law</w:t>
      </w:r>
      <w:r w:rsidR="002938EC" w:rsidRPr="00F819AD">
        <w:rPr>
          <w:rStyle w:val="eop"/>
          <w:rFonts w:ascii="Helvetica" w:eastAsia="Helvetica" w:hAnsi="Helvetica" w:cs="Helvetica"/>
          <w:sz w:val="22"/>
          <w:szCs w:val="22"/>
        </w:rPr>
        <w:t>, potentially forcing health insurance premium increases for millions of Americans</w:t>
      </w:r>
      <w:r w:rsidR="00B21369" w:rsidRPr="00F819AD">
        <w:rPr>
          <w:rStyle w:val="eop"/>
          <w:rFonts w:ascii="Helvetica" w:eastAsia="Helvetica" w:hAnsi="Helvetica" w:cs="Helvetica"/>
          <w:sz w:val="22"/>
          <w:szCs w:val="22"/>
        </w:rPr>
        <w:t xml:space="preserve">. The bill will include short term tax savings for </w:t>
      </w:r>
      <w:r w:rsidR="002938EC" w:rsidRPr="00F819AD">
        <w:rPr>
          <w:rStyle w:val="eop"/>
          <w:rFonts w:ascii="Helvetica" w:eastAsia="Helvetica" w:hAnsi="Helvetica" w:cs="Helvetica"/>
          <w:sz w:val="22"/>
          <w:szCs w:val="22"/>
        </w:rPr>
        <w:t>most Americans</w:t>
      </w:r>
      <w:r w:rsidR="00B21369" w:rsidRPr="00F819AD">
        <w:rPr>
          <w:rStyle w:val="eop"/>
          <w:rFonts w:ascii="Helvetica" w:eastAsia="Helvetica" w:hAnsi="Helvetica" w:cs="Helvetica"/>
          <w:sz w:val="22"/>
          <w:szCs w:val="22"/>
        </w:rPr>
        <w:t xml:space="preserve">, but those savings will be eliminated by 2026. </w:t>
      </w:r>
      <w:r w:rsidR="002938EC" w:rsidRPr="00F819AD">
        <w:rPr>
          <w:rStyle w:val="eop"/>
          <w:rFonts w:ascii="Helvetica" w:eastAsia="Helvetica" w:hAnsi="Helvetica" w:cs="Helvetica"/>
          <w:sz w:val="22"/>
          <w:szCs w:val="22"/>
        </w:rPr>
        <w:t xml:space="preserve">Currently, only the corporate tax cuts are made permanent. </w:t>
      </w:r>
    </w:p>
    <w:p w14:paraId="079C49F1" w14:textId="220E7C34" w:rsidR="00163F3D" w:rsidRPr="00F819AD" w:rsidRDefault="002938EC" w:rsidP="00F819AD">
      <w:pPr>
        <w:pStyle w:val="paragraph"/>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 xml:space="preserve">For many years, RESULTS has advocated for increases to the Earned Income Tax Credit (EITC) and Child Tax Credit (CTC), whose benefits are targeted to low-income households. In the TCJA, </w:t>
      </w:r>
      <w:r w:rsidR="00B21369" w:rsidRPr="00F819AD">
        <w:rPr>
          <w:rStyle w:val="eop"/>
          <w:rFonts w:ascii="Helvetica" w:eastAsia="Helvetica" w:hAnsi="Helvetica" w:cs="Helvetica"/>
          <w:sz w:val="22"/>
          <w:szCs w:val="22"/>
        </w:rPr>
        <w:t xml:space="preserve">the Child Tax Credit </w:t>
      </w:r>
      <w:r w:rsidRPr="00F819AD">
        <w:rPr>
          <w:rStyle w:val="eop"/>
          <w:rFonts w:ascii="Helvetica" w:eastAsia="Helvetica" w:hAnsi="Helvetica" w:cs="Helvetica"/>
          <w:sz w:val="22"/>
          <w:szCs w:val="22"/>
        </w:rPr>
        <w:t xml:space="preserve">was </w:t>
      </w:r>
      <w:r w:rsidR="00B21369" w:rsidRPr="00F819AD">
        <w:rPr>
          <w:rStyle w:val="eop"/>
          <w:rFonts w:ascii="Helvetica" w:eastAsia="Helvetica" w:hAnsi="Helvetica" w:cs="Helvetica"/>
          <w:sz w:val="22"/>
          <w:szCs w:val="22"/>
        </w:rPr>
        <w:t>increase</w:t>
      </w:r>
      <w:r w:rsidRPr="00F819AD">
        <w:rPr>
          <w:rStyle w:val="eop"/>
          <w:rFonts w:ascii="Helvetica" w:eastAsia="Helvetica" w:hAnsi="Helvetica" w:cs="Helvetica"/>
          <w:sz w:val="22"/>
          <w:szCs w:val="22"/>
        </w:rPr>
        <w:t>d but</w:t>
      </w:r>
      <w:r w:rsidR="00B21369" w:rsidRPr="00F819AD">
        <w:rPr>
          <w:rStyle w:val="eop"/>
          <w:rFonts w:ascii="Helvetica" w:eastAsia="Helvetica" w:hAnsi="Helvetica" w:cs="Helvetica"/>
          <w:sz w:val="22"/>
          <w:szCs w:val="22"/>
        </w:rPr>
        <w:t xml:space="preserve"> the benefit</w:t>
      </w:r>
      <w:r w:rsidRPr="00F819AD">
        <w:rPr>
          <w:rStyle w:val="eop"/>
          <w:rFonts w:ascii="Helvetica" w:eastAsia="Helvetica" w:hAnsi="Helvetica" w:cs="Helvetica"/>
          <w:sz w:val="22"/>
          <w:szCs w:val="22"/>
        </w:rPr>
        <w:t>s</w:t>
      </w:r>
      <w:r w:rsidR="00B21369" w:rsidRPr="00F819AD">
        <w:rPr>
          <w:rStyle w:val="eop"/>
          <w:rFonts w:ascii="Helvetica" w:eastAsia="Helvetica" w:hAnsi="Helvetica" w:cs="Helvetica"/>
          <w:sz w:val="22"/>
          <w:szCs w:val="22"/>
        </w:rPr>
        <w:t xml:space="preserve"> largely go to high</w:t>
      </w:r>
      <w:r w:rsidRPr="00F819AD">
        <w:rPr>
          <w:rStyle w:val="eop"/>
          <w:rFonts w:ascii="Helvetica" w:eastAsia="Helvetica" w:hAnsi="Helvetica" w:cs="Helvetica"/>
          <w:sz w:val="22"/>
          <w:szCs w:val="22"/>
        </w:rPr>
        <w:t>-</w:t>
      </w:r>
      <w:r w:rsidR="00B21369" w:rsidRPr="00F819AD">
        <w:rPr>
          <w:rStyle w:val="eop"/>
          <w:rFonts w:ascii="Helvetica" w:eastAsia="Helvetica" w:hAnsi="Helvetica" w:cs="Helvetica"/>
          <w:sz w:val="22"/>
          <w:szCs w:val="22"/>
        </w:rPr>
        <w:t>incom</w:t>
      </w:r>
      <w:r w:rsidR="000924A0" w:rsidRPr="00F819AD">
        <w:rPr>
          <w:rStyle w:val="eop"/>
          <w:rFonts w:ascii="Helvetica" w:eastAsia="Helvetica" w:hAnsi="Helvetica" w:cs="Helvetica"/>
          <w:sz w:val="22"/>
          <w:szCs w:val="22"/>
        </w:rPr>
        <w:t xml:space="preserve">e households (See Figure </w:t>
      </w:r>
      <w:r w:rsidR="00450B81" w:rsidRPr="00F819AD">
        <w:rPr>
          <w:rStyle w:val="eop"/>
          <w:rFonts w:ascii="Helvetica" w:eastAsia="Helvetica" w:hAnsi="Helvetica" w:cs="Helvetica"/>
          <w:sz w:val="22"/>
          <w:szCs w:val="22"/>
        </w:rPr>
        <w:t>12</w:t>
      </w:r>
      <w:r w:rsidR="000924A0" w:rsidRPr="00F819AD">
        <w:rPr>
          <w:rStyle w:val="eop"/>
          <w:rFonts w:ascii="Helvetica" w:eastAsia="Helvetica" w:hAnsi="Helvetica" w:cs="Helvetica"/>
          <w:sz w:val="22"/>
          <w:szCs w:val="22"/>
        </w:rPr>
        <w:t xml:space="preserve">). </w:t>
      </w:r>
      <w:r w:rsidR="003A5640" w:rsidRPr="00F819AD">
        <w:rPr>
          <w:rStyle w:val="eop"/>
          <w:rFonts w:ascii="Helvetica" w:eastAsia="Helvetica" w:hAnsi="Helvetica" w:cs="Helvetica"/>
          <w:sz w:val="22"/>
          <w:szCs w:val="22"/>
        </w:rPr>
        <w:t xml:space="preserve">The credit was doubled to $2,000 per child, but only wealthier families will be able to get the full benefit. Low-income families can at most get $1,400 </w:t>
      </w:r>
      <w:r w:rsidR="00163F3D" w:rsidRPr="00F819AD">
        <w:rPr>
          <w:rStyle w:val="eop"/>
          <w:rFonts w:ascii="Helvetica" w:eastAsia="Helvetica" w:hAnsi="Helvetica" w:cs="Helvetica"/>
          <w:sz w:val="22"/>
          <w:szCs w:val="22"/>
        </w:rPr>
        <w:t xml:space="preserve">per child </w:t>
      </w:r>
      <w:r w:rsidR="003A5640" w:rsidRPr="00F819AD">
        <w:rPr>
          <w:rStyle w:val="eop"/>
          <w:rFonts w:ascii="Helvetica" w:eastAsia="Helvetica" w:hAnsi="Helvetica" w:cs="Helvetica"/>
          <w:sz w:val="22"/>
          <w:szCs w:val="22"/>
        </w:rPr>
        <w:t xml:space="preserve">back as a refund compared to a family earning $400,000, who will get to deduct the full $2,000 </w:t>
      </w:r>
      <w:r w:rsidR="00163F3D" w:rsidRPr="00F819AD">
        <w:rPr>
          <w:rStyle w:val="eop"/>
          <w:rFonts w:ascii="Helvetica" w:eastAsia="Helvetica" w:hAnsi="Helvetica" w:cs="Helvetica"/>
          <w:sz w:val="22"/>
          <w:szCs w:val="22"/>
        </w:rPr>
        <w:t xml:space="preserve">credit per child off their taxes. </w:t>
      </w:r>
      <w:r w:rsidRPr="00F819AD">
        <w:rPr>
          <w:rStyle w:val="eop"/>
          <w:rFonts w:ascii="Helvetica" w:eastAsia="Helvetica" w:hAnsi="Helvetica" w:cs="Helvetica"/>
          <w:sz w:val="22"/>
          <w:szCs w:val="22"/>
        </w:rPr>
        <w:t xml:space="preserve">Sadly, the TCJA made no changes to the EITC. </w:t>
      </w:r>
    </w:p>
    <w:p w14:paraId="6DCC75A2" w14:textId="50FD0C60" w:rsidR="00B21369" w:rsidRPr="00F819AD" w:rsidRDefault="00163F3D" w:rsidP="00F819AD">
      <w:pPr>
        <w:pStyle w:val="paragraph"/>
        <w:spacing w:after="120" w:line="276" w:lineRule="auto"/>
        <w:textAlignment w:val="baseline"/>
        <w:rPr>
          <w:rStyle w:val="eop"/>
          <w:rFonts w:ascii="Helvetica" w:eastAsia="Helvetica" w:hAnsi="Helvetica" w:cs="Helvetica"/>
          <w:sz w:val="22"/>
          <w:szCs w:val="22"/>
        </w:rPr>
      </w:pPr>
      <w:r>
        <w:rPr>
          <w:rStyle w:val="eop"/>
          <w:rFonts w:ascii="Helvetica" w:eastAsia="Helvetica" w:hAnsi="Helvetica" w:cs="Helvetica"/>
          <w:sz w:val="22"/>
          <w:szCs w:val="22"/>
        </w:rPr>
        <w:lastRenderedPageBreak/>
        <w:t>Finally</w:t>
      </w:r>
      <w:r w:rsidR="00B21369" w:rsidRPr="00F819AD">
        <w:rPr>
          <w:rStyle w:val="eop"/>
          <w:rFonts w:ascii="Helvetica" w:eastAsia="Helvetica" w:hAnsi="Helvetica" w:cs="Helvetica"/>
          <w:sz w:val="22"/>
          <w:szCs w:val="22"/>
        </w:rPr>
        <w:t>, the estate tax will only be assessed if a family is inheriting more than $22 million</w:t>
      </w:r>
      <w:r>
        <w:rPr>
          <w:rStyle w:val="eop"/>
          <w:rFonts w:ascii="Helvetica" w:eastAsia="Helvetica" w:hAnsi="Helvetica" w:cs="Helvetica"/>
          <w:sz w:val="22"/>
          <w:szCs w:val="22"/>
        </w:rPr>
        <w:t xml:space="preserve"> and m</w:t>
      </w:r>
      <w:r w:rsidR="00B21369" w:rsidRPr="00F819AD">
        <w:rPr>
          <w:rStyle w:val="eop"/>
          <w:rFonts w:ascii="Helvetica" w:eastAsia="Helvetica" w:hAnsi="Helvetica" w:cs="Helvetica"/>
          <w:sz w:val="22"/>
          <w:szCs w:val="22"/>
        </w:rPr>
        <w:t>any businesses</w:t>
      </w:r>
      <w:r>
        <w:rPr>
          <w:rStyle w:val="eop"/>
          <w:rFonts w:ascii="Helvetica" w:eastAsia="Helvetica" w:hAnsi="Helvetica" w:cs="Helvetica"/>
          <w:sz w:val="22"/>
          <w:szCs w:val="22"/>
        </w:rPr>
        <w:t xml:space="preserve"> organized as</w:t>
      </w:r>
      <w:r w:rsidR="00B21369" w:rsidRPr="00F819AD">
        <w:rPr>
          <w:rStyle w:val="eop"/>
          <w:rFonts w:ascii="Helvetica" w:eastAsia="Helvetica" w:hAnsi="Helvetica" w:cs="Helvetica"/>
          <w:sz w:val="22"/>
          <w:szCs w:val="22"/>
        </w:rPr>
        <w:t xml:space="preserve"> "pass through" companies will get a 20</w:t>
      </w:r>
      <w:r w:rsidR="00C740EA">
        <w:rPr>
          <w:rStyle w:val="eop"/>
          <w:rFonts w:ascii="Helvetica" w:eastAsia="Helvetica" w:hAnsi="Helvetica" w:cs="Helvetica"/>
          <w:sz w:val="22"/>
          <w:szCs w:val="22"/>
        </w:rPr>
        <w:t xml:space="preserve"> percent</w:t>
      </w:r>
      <w:r w:rsidR="00B21369" w:rsidRPr="00F819AD">
        <w:rPr>
          <w:rStyle w:val="eop"/>
          <w:rFonts w:ascii="Helvetica" w:eastAsia="Helvetica" w:hAnsi="Helvetica" w:cs="Helvetica"/>
          <w:sz w:val="22"/>
          <w:szCs w:val="22"/>
        </w:rPr>
        <w:t xml:space="preserve"> reduction in their tax rate</w:t>
      </w:r>
      <w:r>
        <w:rPr>
          <w:rStyle w:val="eop"/>
          <w:rFonts w:ascii="Helvetica" w:eastAsia="Helvetica" w:hAnsi="Helvetica" w:cs="Helvetica"/>
          <w:sz w:val="22"/>
          <w:szCs w:val="22"/>
        </w:rPr>
        <w:t>.</w:t>
      </w:r>
      <w:r w:rsidR="00B21369" w:rsidRPr="00F819AD">
        <w:rPr>
          <w:rStyle w:val="FootnoteReference"/>
          <w:rFonts w:ascii="Helvetica" w:eastAsia="Helvetica" w:hAnsi="Helvetica" w:cs="Helvetica"/>
          <w:sz w:val="22"/>
          <w:szCs w:val="22"/>
        </w:rPr>
        <w:footnoteReference w:id="49"/>
      </w:r>
    </w:p>
    <w:p w14:paraId="48A67BD6" w14:textId="483CCE21" w:rsidR="00B21369" w:rsidRPr="00F819AD" w:rsidRDefault="00B21369" w:rsidP="00F819AD">
      <w:pPr>
        <w:pStyle w:val="paragraph"/>
        <w:spacing w:after="120" w:line="276" w:lineRule="auto"/>
        <w:textAlignment w:val="baseline"/>
        <w:rPr>
          <w:rStyle w:val="eop"/>
          <w:rFonts w:ascii="Helvetica" w:eastAsia="Helvetica" w:hAnsi="Helvetica" w:cs="Helvetica"/>
          <w:b/>
          <w:i/>
          <w:iCs/>
          <w:sz w:val="22"/>
          <w:szCs w:val="22"/>
        </w:rPr>
      </w:pPr>
      <w:r w:rsidRPr="00F819AD">
        <w:rPr>
          <w:rStyle w:val="eop"/>
          <w:rFonts w:ascii="Helvetica" w:eastAsia="Helvetica" w:hAnsi="Helvetica" w:cs="Helvetica"/>
          <w:b/>
          <w:i/>
          <w:iCs/>
          <w:sz w:val="22"/>
          <w:szCs w:val="22"/>
        </w:rPr>
        <w:t xml:space="preserve">Who it </w:t>
      </w:r>
      <w:r w:rsidR="000C6356" w:rsidRPr="00F819AD">
        <w:rPr>
          <w:rStyle w:val="eop"/>
          <w:rFonts w:ascii="Helvetica" w:eastAsia="Helvetica" w:hAnsi="Helvetica" w:cs="Helvetica"/>
          <w:b/>
          <w:i/>
          <w:iCs/>
          <w:sz w:val="22"/>
          <w:szCs w:val="22"/>
        </w:rPr>
        <w:t>affects</w:t>
      </w:r>
      <w:r w:rsidRPr="00F819AD">
        <w:rPr>
          <w:rStyle w:val="eop"/>
          <w:rFonts w:ascii="Helvetica" w:eastAsia="Helvetica" w:hAnsi="Helvetica" w:cs="Helvetica"/>
          <w:b/>
          <w:i/>
          <w:iCs/>
          <w:sz w:val="22"/>
          <w:szCs w:val="22"/>
        </w:rPr>
        <w:t xml:space="preserve"> and </w:t>
      </w:r>
      <w:r w:rsidR="00163F3D" w:rsidRPr="00F819AD">
        <w:rPr>
          <w:rStyle w:val="eop"/>
          <w:rFonts w:ascii="Helvetica" w:eastAsia="Helvetica" w:hAnsi="Helvetica" w:cs="Helvetica"/>
          <w:b/>
          <w:i/>
          <w:iCs/>
          <w:sz w:val="22"/>
          <w:szCs w:val="22"/>
        </w:rPr>
        <w:t>w</w:t>
      </w:r>
      <w:r w:rsidRPr="00F819AD">
        <w:rPr>
          <w:rStyle w:val="eop"/>
          <w:rFonts w:ascii="Helvetica" w:eastAsia="Helvetica" w:hAnsi="Helvetica" w:cs="Helvetica"/>
          <w:b/>
          <w:i/>
          <w:iCs/>
          <w:sz w:val="22"/>
          <w:szCs w:val="22"/>
        </w:rPr>
        <w:t xml:space="preserve">ho </w:t>
      </w:r>
      <w:r w:rsidR="00163F3D" w:rsidRPr="00F819AD">
        <w:rPr>
          <w:rStyle w:val="eop"/>
          <w:rFonts w:ascii="Helvetica" w:eastAsia="Helvetica" w:hAnsi="Helvetica" w:cs="Helvetica"/>
          <w:b/>
          <w:i/>
          <w:iCs/>
          <w:sz w:val="22"/>
          <w:szCs w:val="22"/>
        </w:rPr>
        <w:t>b</w:t>
      </w:r>
      <w:r w:rsidRPr="00F819AD">
        <w:rPr>
          <w:rStyle w:val="eop"/>
          <w:rFonts w:ascii="Helvetica" w:eastAsia="Helvetica" w:hAnsi="Helvetica" w:cs="Helvetica"/>
          <w:b/>
          <w:i/>
          <w:iCs/>
          <w:sz w:val="22"/>
          <w:szCs w:val="22"/>
        </w:rPr>
        <w:t xml:space="preserve">enefits? </w:t>
      </w:r>
    </w:p>
    <w:p w14:paraId="0547A225" w14:textId="710E6262" w:rsidR="000924A0" w:rsidRPr="00F819AD" w:rsidRDefault="00B21369" w:rsidP="00F819AD">
      <w:pPr>
        <w:pStyle w:val="paragraph"/>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The working and middle class will be affected the most negatively by the tax law. The tax law will benefit wealthy individuals and smal</w:t>
      </w:r>
      <w:r w:rsidR="000924A0" w:rsidRPr="00F819AD">
        <w:rPr>
          <w:rStyle w:val="eop"/>
          <w:rFonts w:ascii="Helvetica" w:eastAsia="Helvetica" w:hAnsi="Helvetica" w:cs="Helvetica"/>
          <w:sz w:val="22"/>
          <w:szCs w:val="22"/>
        </w:rPr>
        <w:t>l businesses (</w:t>
      </w:r>
      <w:r w:rsidR="00450B81" w:rsidRPr="00F819AD">
        <w:rPr>
          <w:rStyle w:val="eop"/>
          <w:rFonts w:ascii="Helvetica" w:eastAsia="Helvetica" w:hAnsi="Helvetica" w:cs="Helvetica"/>
          <w:sz w:val="22"/>
          <w:szCs w:val="22"/>
        </w:rPr>
        <w:t>s</w:t>
      </w:r>
      <w:r w:rsidR="000924A0" w:rsidRPr="00F819AD">
        <w:rPr>
          <w:rStyle w:val="eop"/>
          <w:rFonts w:ascii="Helvetica" w:eastAsia="Helvetica" w:hAnsi="Helvetica" w:cs="Helvetica"/>
          <w:sz w:val="22"/>
          <w:szCs w:val="22"/>
        </w:rPr>
        <w:t xml:space="preserve">ee Figure </w:t>
      </w:r>
      <w:r w:rsidR="00450B81" w:rsidRPr="00F819AD">
        <w:rPr>
          <w:rStyle w:val="eop"/>
          <w:rFonts w:ascii="Helvetica" w:eastAsia="Helvetica" w:hAnsi="Helvetica" w:cs="Helvetica"/>
          <w:sz w:val="22"/>
          <w:szCs w:val="22"/>
        </w:rPr>
        <w:t>13</w:t>
      </w:r>
      <w:r w:rsidRPr="00F819AD">
        <w:rPr>
          <w:rStyle w:val="eop"/>
          <w:rFonts w:ascii="Helvetica" w:eastAsia="Helvetica" w:hAnsi="Helvetica" w:cs="Helvetica"/>
          <w:sz w:val="22"/>
          <w:szCs w:val="22"/>
        </w:rPr>
        <w:t>). Forty-three percent of the tax benefits would go to Americans with incomes in the top 5 percent</w:t>
      </w:r>
      <w:r w:rsidR="00F5399F"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w:t>
      </w:r>
      <w:r w:rsidR="00F5399F"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above $290,000</w:t>
      </w:r>
      <w:r w:rsidR="00F5399F"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w:t>
      </w:r>
      <w:r w:rsidR="00F5399F"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while only 19 percent of the benefits would go to Americans with incomes in the bottom 60 percent, or those making less than $81,000</w:t>
      </w:r>
      <w:r w:rsidR="00163F3D">
        <w:rPr>
          <w:rStyle w:val="eop"/>
          <w:rFonts w:ascii="Helvetica" w:eastAsia="Helvetica" w:hAnsi="Helvetica" w:cs="Helvetica"/>
          <w:sz w:val="22"/>
          <w:szCs w:val="22"/>
        </w:rPr>
        <w:t>.</w:t>
      </w:r>
      <w:r w:rsidR="000B6A43" w:rsidRPr="00F819AD">
        <w:rPr>
          <w:rStyle w:val="FootnoteReference"/>
          <w:rFonts w:ascii="Helvetica" w:eastAsia="Helvetica" w:hAnsi="Helvetica" w:cs="Helvetica"/>
          <w:sz w:val="22"/>
          <w:szCs w:val="22"/>
        </w:rPr>
        <w:footnoteReference w:id="50"/>
      </w:r>
      <w:r w:rsidR="00675317">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The new law favors people with the</w:t>
      </w:r>
      <w:r w:rsidR="000B6A43" w:rsidRPr="00F819AD">
        <w:rPr>
          <w:rStyle w:val="eop"/>
          <w:rFonts w:ascii="Helvetica" w:eastAsia="Helvetica" w:hAnsi="Helvetica" w:cs="Helvetica"/>
          <w:sz w:val="22"/>
          <w:szCs w:val="22"/>
        </w:rPr>
        <w:t xml:space="preserve"> highest incomes and has </w:t>
      </w:r>
      <w:r w:rsidR="00C740EA" w:rsidRPr="00F819AD">
        <w:rPr>
          <w:rStyle w:val="eop"/>
          <w:rFonts w:ascii="Helvetica" w:eastAsia="Helvetica" w:hAnsi="Helvetica" w:cs="Helvetica"/>
          <w:sz w:val="22"/>
          <w:szCs w:val="22"/>
        </w:rPr>
        <w:t>opened</w:t>
      </w:r>
      <w:r w:rsidRPr="00F819AD">
        <w:rPr>
          <w:rStyle w:val="eop"/>
          <w:rFonts w:ascii="Helvetica" w:eastAsia="Helvetica" w:hAnsi="Helvetica" w:cs="Helvetica"/>
          <w:sz w:val="22"/>
          <w:szCs w:val="22"/>
        </w:rPr>
        <w:t xml:space="preserve"> vast new opportunities for well-heeled taxpayers to game the system</w:t>
      </w:r>
      <w:r w:rsidR="00163F3D">
        <w:rPr>
          <w:rStyle w:val="eop"/>
          <w:rFonts w:ascii="Helvetica" w:eastAsia="Helvetica" w:hAnsi="Helvetica" w:cs="Helvetica"/>
          <w:sz w:val="22"/>
          <w:szCs w:val="22"/>
        </w:rPr>
        <w:t>.</w:t>
      </w:r>
      <w:r w:rsidR="000B6A43" w:rsidRPr="00F819AD">
        <w:rPr>
          <w:rStyle w:val="FootnoteReference"/>
          <w:rFonts w:ascii="Helvetica" w:eastAsia="Helvetica" w:hAnsi="Helvetica" w:cs="Helvetica"/>
          <w:sz w:val="22"/>
          <w:szCs w:val="22"/>
        </w:rPr>
        <w:footnoteReference w:id="51"/>
      </w:r>
    </w:p>
    <w:p w14:paraId="7D64FDB2" w14:textId="78A1CFEE" w:rsidR="000B6A43" w:rsidRPr="00F6022F" w:rsidRDefault="000B6A43" w:rsidP="00F819AD">
      <w:pPr>
        <w:pStyle w:val="paragraph"/>
        <w:keepNext/>
        <w:spacing w:after="120" w:line="276" w:lineRule="auto"/>
        <w:jc w:val="center"/>
        <w:textAlignment w:val="baseline"/>
        <w:rPr>
          <w:rFonts w:ascii="Helvetica" w:hAnsi="Helvetica" w:cs="Helvetica"/>
        </w:rPr>
      </w:pPr>
      <w:r w:rsidRPr="00F6022F">
        <w:rPr>
          <w:rFonts w:ascii="Helvetica" w:hAnsi="Helvetica" w:cs="Helvetica"/>
          <w:noProof/>
        </w:rPr>
        <w:drawing>
          <wp:inline distT="0" distB="0" distL="0" distR="0" wp14:anchorId="5C48E544" wp14:editId="03A8A75C">
            <wp:extent cx="3653346" cy="2895600"/>
            <wp:effectExtent l="57150" t="57150" r="118745" b="114300"/>
            <wp:docPr id="751457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3660060" cy="29009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7039B" w14:textId="70EE3394" w:rsidR="000B6A43" w:rsidRPr="00F819AD" w:rsidRDefault="000B6A43" w:rsidP="00F819AD">
      <w:pPr>
        <w:pStyle w:val="Caption"/>
        <w:spacing w:after="120" w:line="276" w:lineRule="auto"/>
        <w:jc w:val="center"/>
        <w:rPr>
          <w:rStyle w:val="eop"/>
          <w:rFonts w:ascii="Helvetica" w:eastAsia="Helvetica" w:hAnsi="Helvetica" w:cs="Helvetica"/>
          <w:sz w:val="22"/>
          <w:szCs w:val="22"/>
        </w:rPr>
      </w:pPr>
      <w:r w:rsidRPr="00F819AD">
        <w:rPr>
          <w:rFonts w:ascii="Helvetica" w:eastAsia="Helvetica" w:hAnsi="Helvetica" w:cs="Helvetica"/>
          <w:sz w:val="22"/>
          <w:szCs w:val="22"/>
        </w:rPr>
        <w:t xml:space="preserve">Figure </w:t>
      </w:r>
      <w:r w:rsidR="002860A4" w:rsidRPr="00F819AD">
        <w:rPr>
          <w:rFonts w:ascii="Helvetica" w:eastAsia="Helvetica" w:hAnsi="Helvetica" w:cs="Helvetica"/>
          <w:sz w:val="22"/>
          <w:szCs w:val="22"/>
        </w:rPr>
        <w:t>13</w:t>
      </w:r>
      <w:r w:rsidR="002D6167">
        <w:rPr>
          <w:rFonts w:ascii="Helvetica" w:eastAsia="Helvetica" w:hAnsi="Helvetica" w:cs="Helvetica"/>
          <w:sz w:val="22"/>
          <w:szCs w:val="22"/>
        </w:rPr>
        <w:t xml:space="preserve"> </w:t>
      </w:r>
      <w:r w:rsidR="002D6167">
        <w:rPr>
          <w:rStyle w:val="FootnoteReference"/>
          <w:rFonts w:ascii="Helvetica" w:eastAsia="Helvetica" w:hAnsi="Helvetica" w:cs="Helvetica"/>
          <w:sz w:val="22"/>
          <w:szCs w:val="22"/>
        </w:rPr>
        <w:footnoteReference w:id="52"/>
      </w:r>
    </w:p>
    <w:p w14:paraId="5B54BC24" w14:textId="77777777" w:rsidR="00C448E5" w:rsidRDefault="00C448E5">
      <w:pPr>
        <w:rPr>
          <w:rStyle w:val="eop"/>
          <w:rFonts w:ascii="Helvetica" w:eastAsia="Helvetica" w:hAnsi="Helvetica" w:cs="Helvetica"/>
          <w:i/>
          <w:iCs/>
        </w:rPr>
      </w:pPr>
      <w:r>
        <w:rPr>
          <w:rStyle w:val="eop"/>
          <w:rFonts w:ascii="Helvetica" w:eastAsia="Helvetica" w:hAnsi="Helvetica" w:cs="Helvetica"/>
          <w:i/>
          <w:iCs/>
        </w:rPr>
        <w:br w:type="page"/>
      </w:r>
    </w:p>
    <w:p w14:paraId="2B4F560D" w14:textId="2D7E4E98" w:rsidR="00156C8A" w:rsidRPr="00F819AD" w:rsidRDefault="00156C8A" w:rsidP="00F819AD">
      <w:pPr>
        <w:pStyle w:val="paragraph"/>
        <w:spacing w:after="120" w:line="276" w:lineRule="auto"/>
        <w:textAlignment w:val="baseline"/>
        <w:rPr>
          <w:rStyle w:val="eop"/>
          <w:rFonts w:ascii="Helvetica,Calibri" w:eastAsia="Helvetica,Calibri" w:hAnsi="Helvetica,Calibri" w:cs="Helvetica,Calibri"/>
          <w:b/>
          <w:i/>
          <w:iCs/>
          <w:sz w:val="22"/>
          <w:szCs w:val="22"/>
        </w:rPr>
      </w:pPr>
      <w:r w:rsidRPr="00F819AD">
        <w:rPr>
          <w:rStyle w:val="eop"/>
          <w:rFonts w:ascii="Helvetica" w:eastAsia="Helvetica" w:hAnsi="Helvetica" w:cs="Helvetica"/>
          <w:b/>
          <w:i/>
          <w:iCs/>
          <w:sz w:val="22"/>
          <w:szCs w:val="22"/>
        </w:rPr>
        <w:lastRenderedPageBreak/>
        <w:t xml:space="preserve">How Costly is the </w:t>
      </w:r>
      <w:r w:rsidR="00F5399F" w:rsidRPr="00F819AD">
        <w:rPr>
          <w:rStyle w:val="eop"/>
          <w:rFonts w:ascii="Helvetica" w:eastAsia="Helvetica" w:hAnsi="Helvetica" w:cs="Helvetica"/>
          <w:b/>
          <w:i/>
          <w:iCs/>
          <w:sz w:val="22"/>
          <w:szCs w:val="22"/>
        </w:rPr>
        <w:t>TCJA</w:t>
      </w:r>
      <w:r w:rsidRPr="00F819AD">
        <w:rPr>
          <w:rStyle w:val="eop"/>
          <w:rFonts w:ascii="Helvetica" w:eastAsia="Helvetica" w:hAnsi="Helvetica" w:cs="Helvetica"/>
          <w:b/>
          <w:i/>
          <w:iCs/>
          <w:sz w:val="22"/>
          <w:szCs w:val="22"/>
        </w:rPr>
        <w:t xml:space="preserve">? </w:t>
      </w:r>
    </w:p>
    <w:p w14:paraId="30F71C33" w14:textId="0DBFD948" w:rsidR="00156C8A" w:rsidRPr="00F6022F" w:rsidRDefault="00156C8A" w:rsidP="00F819AD">
      <w:pPr>
        <w:pStyle w:val="paragraph"/>
        <w:spacing w:after="240" w:line="276" w:lineRule="auto"/>
        <w:textAlignment w:val="baseline"/>
        <w:rPr>
          <w:rStyle w:val="eop"/>
          <w:rFonts w:ascii="Helvetica" w:eastAsiaTheme="minorHAnsi" w:hAnsi="Helvetica" w:cs="Helvetica"/>
          <w:sz w:val="22"/>
          <w:szCs w:val="22"/>
        </w:rPr>
      </w:pPr>
      <w:r w:rsidRPr="00F819AD">
        <w:rPr>
          <w:rStyle w:val="eop"/>
          <w:rFonts w:ascii="Helvetica" w:eastAsia="Helvetica" w:hAnsi="Helvetica" w:cs="Helvetica"/>
          <w:sz w:val="22"/>
          <w:szCs w:val="22"/>
        </w:rPr>
        <w:t xml:space="preserve">The bill will go into effect in 2018. The final bill is estimated to cost $1.46 trillion. Researchers estimate that the US will go into debt in the amount of approximately $1.5 trillion </w:t>
      </w:r>
      <w:r w:rsidR="00C740EA">
        <w:rPr>
          <w:rStyle w:val="eop"/>
          <w:rFonts w:ascii="Helvetica" w:eastAsia="Helvetica" w:hAnsi="Helvetica" w:cs="Helvetica"/>
          <w:sz w:val="22"/>
          <w:szCs w:val="22"/>
        </w:rPr>
        <w:t>because of</w:t>
      </w:r>
      <w:r w:rsidR="00C448E5">
        <w:rPr>
          <w:rStyle w:val="eop"/>
          <w:rFonts w:ascii="Helvetica" w:eastAsia="Helvetica" w:hAnsi="Helvetica" w:cs="Helvetica"/>
          <w:sz w:val="22"/>
          <w:szCs w:val="22"/>
        </w:rPr>
        <w:t xml:space="preserve"> the TCJA.</w:t>
      </w:r>
      <w:r w:rsidRPr="00F819AD">
        <w:rPr>
          <w:rStyle w:val="FootnoteReference"/>
          <w:rFonts w:ascii="Helvetica" w:eastAsia="Helvetica" w:hAnsi="Helvetica" w:cs="Helvetica"/>
          <w:sz w:val="22"/>
          <w:szCs w:val="22"/>
        </w:rPr>
        <w:footnoteReference w:id="53"/>
      </w:r>
      <w:r w:rsidR="00675317">
        <w:rPr>
          <w:rStyle w:val="eop"/>
          <w:rFonts w:ascii="Helvetica" w:eastAsia="Helvetica" w:hAnsi="Helvetica" w:cs="Helvetica"/>
          <w:sz w:val="22"/>
          <w:szCs w:val="22"/>
        </w:rPr>
        <w:t xml:space="preserve"> </w:t>
      </w:r>
    </w:p>
    <w:p w14:paraId="68BF3214" w14:textId="33917D8F" w:rsidR="00C448E5" w:rsidRDefault="00C448E5" w:rsidP="00F819AD">
      <w:pPr>
        <w:pStyle w:val="paragraph"/>
        <w:spacing w:after="120" w:line="276" w:lineRule="auto"/>
        <w:textAlignment w:val="baseline"/>
        <w:rPr>
          <w:rStyle w:val="eop"/>
          <w:rFonts w:ascii="Helvetica" w:eastAsia="Helvetica" w:hAnsi="Helvetica" w:cs="Helvetica"/>
          <w:sz w:val="22"/>
          <w:szCs w:val="22"/>
        </w:rPr>
      </w:pPr>
      <w:r w:rsidRPr="00F07FCD">
        <w:rPr>
          <w:rStyle w:val="eop"/>
          <w:rFonts w:ascii="Helvetica" w:eastAsia="Helvetica" w:hAnsi="Helvetica" w:cs="Helvetica"/>
          <w:b/>
          <w:sz w:val="28"/>
          <w:szCs w:val="28"/>
        </w:rPr>
        <w:t xml:space="preserve">The </w:t>
      </w:r>
      <w:r>
        <w:rPr>
          <w:rStyle w:val="eop"/>
          <w:rFonts w:ascii="Helvetica" w:eastAsia="Helvetica" w:hAnsi="Helvetica" w:cs="Helvetica"/>
          <w:b/>
          <w:sz w:val="28"/>
          <w:szCs w:val="28"/>
        </w:rPr>
        <w:t xml:space="preserve">TCJA and </w:t>
      </w:r>
      <w:r w:rsidR="00A322C0">
        <w:rPr>
          <w:rStyle w:val="eop"/>
          <w:rFonts w:ascii="Helvetica" w:eastAsia="Helvetica" w:hAnsi="Helvetica" w:cs="Helvetica"/>
          <w:b/>
          <w:sz w:val="28"/>
          <w:szCs w:val="28"/>
        </w:rPr>
        <w:t xml:space="preserve">Racial </w:t>
      </w:r>
      <w:r>
        <w:rPr>
          <w:rStyle w:val="eop"/>
          <w:rFonts w:ascii="Helvetica" w:eastAsia="Helvetica" w:hAnsi="Helvetica" w:cs="Helvetica"/>
          <w:b/>
          <w:sz w:val="28"/>
          <w:szCs w:val="28"/>
        </w:rPr>
        <w:t>Wealth Inequality</w:t>
      </w:r>
    </w:p>
    <w:p w14:paraId="5288D677" w14:textId="6F8AB55B" w:rsidR="00274C53" w:rsidRPr="00F819AD" w:rsidRDefault="00DB2512" w:rsidP="00F819AD">
      <w:pPr>
        <w:pStyle w:val="paragraph"/>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A 2018 report from</w:t>
      </w:r>
      <w:r w:rsidR="004404FC" w:rsidRPr="00F819AD">
        <w:rPr>
          <w:rStyle w:val="eop"/>
          <w:rFonts w:ascii="Helvetica" w:eastAsia="Helvetica" w:hAnsi="Helvetica" w:cs="Helvetica"/>
          <w:sz w:val="22"/>
          <w:szCs w:val="22"/>
        </w:rPr>
        <w:t xml:space="preserve"> the </w:t>
      </w:r>
      <w:hyperlink r:id="rId48" w:history="1">
        <w:r w:rsidR="004404FC" w:rsidRPr="00F819AD">
          <w:rPr>
            <w:rStyle w:val="Hyperlink"/>
            <w:rFonts w:ascii="Helvetica" w:eastAsia="Helvetica" w:hAnsi="Helvetica" w:cs="Helvetica"/>
            <w:sz w:val="22"/>
            <w:szCs w:val="22"/>
          </w:rPr>
          <w:t>R</w:t>
        </w:r>
        <w:r w:rsidRPr="00F819AD">
          <w:rPr>
            <w:rStyle w:val="Hyperlink"/>
            <w:rFonts w:ascii="Helvetica" w:eastAsia="Helvetica" w:hAnsi="Helvetica" w:cs="Helvetica"/>
            <w:sz w:val="22"/>
            <w:szCs w:val="22"/>
          </w:rPr>
          <w:t>oosevelt Institute</w:t>
        </w:r>
      </w:hyperlink>
      <w:r w:rsidRPr="00F819AD">
        <w:rPr>
          <w:rStyle w:val="eop"/>
          <w:rFonts w:ascii="Helvetica" w:eastAsia="Helvetica" w:hAnsi="Helvetica" w:cs="Helvetica"/>
          <w:sz w:val="22"/>
          <w:szCs w:val="22"/>
        </w:rPr>
        <w:t xml:space="preserve"> lays out</w:t>
      </w:r>
      <w:r w:rsidR="004404FC" w:rsidRPr="00F819AD">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 xml:space="preserve">how </w:t>
      </w:r>
      <w:r w:rsidR="00156C8A" w:rsidRPr="00F819AD">
        <w:rPr>
          <w:rStyle w:val="eop"/>
          <w:rFonts w:ascii="Helvetica" w:eastAsia="Helvetica" w:hAnsi="Helvetica" w:cs="Helvetica"/>
          <w:sz w:val="22"/>
          <w:szCs w:val="22"/>
        </w:rPr>
        <w:t xml:space="preserve">the </w:t>
      </w:r>
      <w:r w:rsidR="00D25B5C" w:rsidRPr="00F819AD">
        <w:rPr>
          <w:rFonts w:ascii="Helvetica" w:eastAsia="Helvetica" w:hAnsi="Helvetica" w:cs="Helvetica"/>
          <w:sz w:val="22"/>
          <w:szCs w:val="22"/>
        </w:rPr>
        <w:t>2017</w:t>
      </w:r>
      <w:r w:rsidR="00274C53" w:rsidRPr="00F819AD">
        <w:rPr>
          <w:rFonts w:ascii="Helvetica" w:eastAsia="Helvetica" w:hAnsi="Helvetica" w:cs="Helvetica"/>
          <w:sz w:val="22"/>
          <w:szCs w:val="22"/>
        </w:rPr>
        <w:t xml:space="preserve"> tax law will negatively impact racial wealth di</w:t>
      </w:r>
      <w:r w:rsidR="00D25B5C" w:rsidRPr="00F819AD">
        <w:rPr>
          <w:rFonts w:ascii="Helvetica" w:eastAsia="Helvetica" w:hAnsi="Helvetica" w:cs="Helvetica"/>
          <w:sz w:val="22"/>
          <w:szCs w:val="22"/>
        </w:rPr>
        <w:t>sparities</w:t>
      </w:r>
      <w:r w:rsidR="003C2A19" w:rsidRPr="00F819AD">
        <w:rPr>
          <w:rStyle w:val="FootnoteReference"/>
          <w:rFonts w:ascii="Helvetica" w:eastAsia="Helvetica" w:hAnsi="Helvetica" w:cs="Helvetica"/>
          <w:sz w:val="22"/>
          <w:szCs w:val="22"/>
        </w:rPr>
        <w:footnoteReference w:id="54"/>
      </w:r>
      <w:r w:rsidR="00D25B5C" w:rsidRPr="00F819AD">
        <w:rPr>
          <w:rStyle w:val="eop"/>
          <w:rFonts w:ascii="Helvetica" w:eastAsia="Helvetica" w:hAnsi="Helvetica" w:cs="Helvetica"/>
          <w:sz w:val="22"/>
          <w:szCs w:val="22"/>
        </w:rPr>
        <w:t xml:space="preserve"> primarily in four</w:t>
      </w:r>
      <w:r w:rsidR="00274C53" w:rsidRPr="00F819AD">
        <w:rPr>
          <w:rStyle w:val="eop"/>
          <w:rFonts w:ascii="Helvetica" w:eastAsia="Helvetica" w:hAnsi="Helvetica" w:cs="Helvetica"/>
          <w:sz w:val="22"/>
          <w:szCs w:val="22"/>
        </w:rPr>
        <w:t xml:space="preserve"> ways: </w:t>
      </w:r>
    </w:p>
    <w:p w14:paraId="5005E056" w14:textId="3FC63948" w:rsidR="00274C53" w:rsidRPr="00F819AD" w:rsidRDefault="00274C53" w:rsidP="00F819AD">
      <w:pPr>
        <w:pStyle w:val="paragraph"/>
        <w:numPr>
          <w:ilvl w:val="0"/>
          <w:numId w:val="1"/>
        </w:numPr>
        <w:spacing w:after="120" w:line="276" w:lineRule="auto"/>
        <w:textAlignment w:val="baseline"/>
        <w:rPr>
          <w:rStyle w:val="eop"/>
          <w:rFonts w:ascii="Helvetica,Calibri" w:eastAsia="Helvetica,Calibri" w:hAnsi="Helvetica,Calibri" w:cs="Helvetica,Calibri"/>
          <w:sz w:val="22"/>
          <w:szCs w:val="22"/>
        </w:rPr>
      </w:pPr>
      <w:r w:rsidRPr="00F819AD">
        <w:rPr>
          <w:rStyle w:val="eop"/>
          <w:rFonts w:ascii="Helvetica" w:eastAsia="Helvetica" w:hAnsi="Helvetica" w:cs="Helvetica"/>
          <w:sz w:val="22"/>
          <w:szCs w:val="22"/>
        </w:rPr>
        <w:t xml:space="preserve">The benefits from the tax law disproportionately accrue to high-income </w:t>
      </w:r>
      <w:r w:rsidR="00F5399F" w:rsidRPr="00F819AD">
        <w:rPr>
          <w:rStyle w:val="eop"/>
          <w:rFonts w:ascii="Helvetica" w:eastAsia="Helvetica" w:hAnsi="Helvetica" w:cs="Helvetica"/>
          <w:sz w:val="22"/>
          <w:szCs w:val="22"/>
        </w:rPr>
        <w:t xml:space="preserve">or high-wealth </w:t>
      </w:r>
      <w:r w:rsidRPr="00F819AD">
        <w:rPr>
          <w:rStyle w:val="eop"/>
          <w:rFonts w:ascii="Helvetica" w:eastAsia="Helvetica" w:hAnsi="Helvetica" w:cs="Helvetica"/>
          <w:sz w:val="22"/>
          <w:szCs w:val="22"/>
        </w:rPr>
        <w:t xml:space="preserve">households. Given our nation’s history of exclusion of people of color from economic opportunities, these benefits will largely go to white families leaving families of color behind. </w:t>
      </w:r>
    </w:p>
    <w:p w14:paraId="483CCFEC" w14:textId="4A07B834" w:rsidR="00274C53" w:rsidRPr="00F819AD" w:rsidRDefault="00274C53" w:rsidP="00F819AD">
      <w:pPr>
        <w:pStyle w:val="paragraph"/>
        <w:numPr>
          <w:ilvl w:val="0"/>
          <w:numId w:val="1"/>
        </w:numPr>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 xml:space="preserve">The law primarily benefits those who already have wealth rather than creating incentives to build new wealth. These benefits will further deepen disparities between existing holders of wealth who are predominantly white, and those who lack wealth who are more likely to be people of color. </w:t>
      </w:r>
    </w:p>
    <w:p w14:paraId="4EF7685D" w14:textId="6DBBB8E1" w:rsidR="00274C53" w:rsidRPr="00F819AD" w:rsidRDefault="00274C53" w:rsidP="00F819AD">
      <w:pPr>
        <w:pStyle w:val="paragraph"/>
        <w:numPr>
          <w:ilvl w:val="0"/>
          <w:numId w:val="1"/>
        </w:numPr>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 xml:space="preserve">The new limits on state and local deductions will force state and local governments to look for alternate sources of revenue. As a result, state and local governments will likely increase fines and fees which tend to fall disproportionately on people of color. </w:t>
      </w:r>
    </w:p>
    <w:p w14:paraId="3A7D3276" w14:textId="4813E0B2" w:rsidR="009B3FF8" w:rsidRPr="00F819AD" w:rsidRDefault="00D25B5C" w:rsidP="00F819AD">
      <w:pPr>
        <w:pStyle w:val="paragraph"/>
        <w:numPr>
          <w:ilvl w:val="0"/>
          <w:numId w:val="1"/>
        </w:numPr>
        <w:spacing w:after="120" w:line="276" w:lineRule="auto"/>
        <w:textAlignment w:val="baseline"/>
        <w:rPr>
          <w:rStyle w:val="eop"/>
          <w:rFonts w:ascii="Helvetica" w:hAnsi="Helvetica" w:cs="Helvetica"/>
          <w:sz w:val="22"/>
          <w:szCs w:val="22"/>
        </w:rPr>
      </w:pPr>
      <w:r w:rsidRPr="00F819AD">
        <w:rPr>
          <w:rStyle w:val="eop"/>
          <w:rFonts w:ascii="Helvetica" w:eastAsia="Helvetica" w:hAnsi="Helvetica" w:cs="Helvetica"/>
          <w:sz w:val="22"/>
          <w:szCs w:val="22"/>
        </w:rPr>
        <w:t xml:space="preserve">The estimated revenue loss from tax cuts enacted by the law will undermine public sector and public services. These cuts will likely decrease the size of public sector labor force </w:t>
      </w:r>
      <w:r w:rsidR="00A322C0">
        <w:rPr>
          <w:rStyle w:val="eop"/>
          <w:rFonts w:ascii="Helvetica" w:eastAsia="Helvetica" w:hAnsi="Helvetica" w:cs="Helvetica"/>
          <w:sz w:val="22"/>
          <w:szCs w:val="22"/>
        </w:rPr>
        <w:t xml:space="preserve">of </w:t>
      </w:r>
      <w:r w:rsidRPr="00F819AD">
        <w:rPr>
          <w:rStyle w:val="eop"/>
          <w:rFonts w:ascii="Helvetica" w:eastAsia="Helvetica" w:hAnsi="Helvetica" w:cs="Helvetica"/>
          <w:sz w:val="22"/>
          <w:szCs w:val="22"/>
        </w:rPr>
        <w:t xml:space="preserve">which </w:t>
      </w:r>
      <w:r w:rsidR="00675317">
        <w:rPr>
          <w:rStyle w:val="eop"/>
          <w:rFonts w:ascii="Helvetica" w:eastAsia="Helvetica" w:hAnsi="Helvetica" w:cs="Helvetica"/>
          <w:sz w:val="22"/>
          <w:szCs w:val="22"/>
        </w:rPr>
        <w:t>African Ame</w:t>
      </w:r>
      <w:r w:rsidR="00375EA2">
        <w:rPr>
          <w:rStyle w:val="eop"/>
          <w:rFonts w:ascii="Helvetica" w:eastAsia="Helvetica" w:hAnsi="Helvetica" w:cs="Helvetica"/>
          <w:sz w:val="22"/>
          <w:szCs w:val="22"/>
        </w:rPr>
        <w:t>ri</w:t>
      </w:r>
      <w:r w:rsidR="00675317">
        <w:rPr>
          <w:rStyle w:val="eop"/>
          <w:rFonts w:ascii="Helvetica" w:eastAsia="Helvetica" w:hAnsi="Helvetica" w:cs="Helvetica"/>
          <w:sz w:val="22"/>
          <w:szCs w:val="22"/>
        </w:rPr>
        <w:t>cans</w:t>
      </w:r>
      <w:r w:rsidRPr="00F819AD">
        <w:rPr>
          <w:rStyle w:val="eop"/>
          <w:rFonts w:ascii="Helvetica" w:eastAsia="Helvetica" w:hAnsi="Helvetica" w:cs="Helvetica"/>
          <w:sz w:val="22"/>
          <w:szCs w:val="22"/>
        </w:rPr>
        <w:t xml:space="preserve"> make up a large share, putting their employment and communities at risk. </w:t>
      </w:r>
    </w:p>
    <w:p w14:paraId="53C0D988" w14:textId="3D9FDB57" w:rsidR="00935269" w:rsidRPr="00F819AD" w:rsidRDefault="00D25B5C" w:rsidP="00F819AD">
      <w:pPr>
        <w:pStyle w:val="paragraph"/>
        <w:spacing w:after="120" w:line="276" w:lineRule="auto"/>
        <w:textAlignment w:val="baseline"/>
        <w:rPr>
          <w:rStyle w:val="eop"/>
          <w:rFonts w:ascii="Helvetica" w:eastAsia="Helvetica" w:hAnsi="Helvetica" w:cs="Helvetica"/>
          <w:sz w:val="22"/>
          <w:szCs w:val="22"/>
        </w:rPr>
      </w:pPr>
      <w:r w:rsidRPr="00F819AD">
        <w:rPr>
          <w:rStyle w:val="eop"/>
          <w:rFonts w:ascii="Helvetica" w:eastAsia="Helvetica" w:hAnsi="Helvetica" w:cs="Helvetica"/>
          <w:sz w:val="22"/>
          <w:szCs w:val="22"/>
        </w:rPr>
        <w:t>The 2017 tax law poses a significant threat to reducing wealth inequality and will likely undermine the movement to end poverty in the U</w:t>
      </w:r>
      <w:r w:rsidR="00A322C0">
        <w:rPr>
          <w:rStyle w:val="eop"/>
          <w:rFonts w:ascii="Helvetica" w:eastAsia="Helvetica" w:hAnsi="Helvetica" w:cs="Helvetica"/>
          <w:sz w:val="22"/>
          <w:szCs w:val="22"/>
        </w:rPr>
        <w:t>.</w:t>
      </w:r>
      <w:r w:rsidRPr="00F819AD">
        <w:rPr>
          <w:rStyle w:val="eop"/>
          <w:rFonts w:ascii="Helvetica" w:eastAsia="Helvetica" w:hAnsi="Helvetica" w:cs="Helvetica"/>
          <w:sz w:val="22"/>
          <w:szCs w:val="22"/>
        </w:rPr>
        <w:t xml:space="preserve">S. </w:t>
      </w:r>
      <w:r w:rsidR="00B53BC1" w:rsidRPr="005C71B4">
        <w:rPr>
          <w:rStyle w:val="eop"/>
          <w:rFonts w:ascii="Helvetica" w:eastAsia="Helvetica" w:hAnsi="Helvetica" w:cs="Helvetica"/>
          <w:sz w:val="22"/>
          <w:szCs w:val="22"/>
        </w:rPr>
        <w:t xml:space="preserve">This summer </w:t>
      </w:r>
      <w:r w:rsidR="00B53BC1">
        <w:rPr>
          <w:rStyle w:val="eop"/>
          <w:rFonts w:ascii="Helvetica" w:eastAsia="Helvetica" w:hAnsi="Helvetica" w:cs="Helvetica"/>
          <w:sz w:val="22"/>
          <w:szCs w:val="22"/>
        </w:rPr>
        <w:t>House Republican</w:t>
      </w:r>
      <w:r w:rsidR="00A322C0">
        <w:rPr>
          <w:rStyle w:val="eop"/>
          <w:rFonts w:ascii="Helvetica" w:eastAsia="Helvetica" w:hAnsi="Helvetica" w:cs="Helvetica"/>
          <w:sz w:val="22"/>
          <w:szCs w:val="22"/>
        </w:rPr>
        <w:t>s</w:t>
      </w:r>
      <w:r w:rsidR="00B53BC1" w:rsidRPr="005C71B4">
        <w:rPr>
          <w:rStyle w:val="eop"/>
          <w:rFonts w:ascii="Helvetica" w:eastAsia="Helvetica" w:hAnsi="Helvetica" w:cs="Helvetica"/>
          <w:sz w:val="22"/>
          <w:szCs w:val="22"/>
        </w:rPr>
        <w:t xml:space="preserve"> </w:t>
      </w:r>
      <w:r w:rsidR="00B53BC1">
        <w:rPr>
          <w:rStyle w:val="eop"/>
          <w:rFonts w:ascii="Helvetica" w:eastAsia="Helvetica" w:hAnsi="Helvetica" w:cs="Helvetica"/>
          <w:sz w:val="22"/>
          <w:szCs w:val="22"/>
        </w:rPr>
        <w:t xml:space="preserve">are crafting new tax legislation, a “Tax Cuts 2.0” package, which may make the individual tax breaks permanent and include additional tax policy changes. While the House may take up and pass this </w:t>
      </w:r>
      <w:r w:rsidR="00B53BC1" w:rsidRPr="005C71B4">
        <w:rPr>
          <w:rStyle w:val="eop"/>
          <w:rFonts w:ascii="Helvetica" w:eastAsia="Helvetica" w:hAnsi="Helvetica" w:cs="Helvetica"/>
          <w:sz w:val="22"/>
          <w:szCs w:val="22"/>
        </w:rPr>
        <w:t xml:space="preserve">bill </w:t>
      </w:r>
      <w:r w:rsidR="00B53BC1">
        <w:rPr>
          <w:rStyle w:val="eop"/>
          <w:rFonts w:ascii="Helvetica" w:eastAsia="Helvetica" w:hAnsi="Helvetica" w:cs="Helvetica"/>
          <w:sz w:val="22"/>
          <w:szCs w:val="22"/>
        </w:rPr>
        <w:t xml:space="preserve">this year, </w:t>
      </w:r>
      <w:r w:rsidR="00B53BC1" w:rsidRPr="005C71B4">
        <w:rPr>
          <w:rStyle w:val="eop"/>
          <w:rFonts w:ascii="Helvetica" w:eastAsia="Helvetica" w:hAnsi="Helvetica" w:cs="Helvetica"/>
          <w:sz w:val="22"/>
          <w:szCs w:val="22"/>
        </w:rPr>
        <w:t>the Senate</w:t>
      </w:r>
      <w:r w:rsidR="00B53BC1">
        <w:rPr>
          <w:rStyle w:val="eop"/>
          <w:rFonts w:ascii="Helvetica" w:eastAsia="Helvetica" w:hAnsi="Helvetica" w:cs="Helvetica"/>
          <w:sz w:val="22"/>
          <w:szCs w:val="22"/>
        </w:rPr>
        <w:t xml:space="preserve"> is not expected to take up additional tax legislation</w:t>
      </w:r>
      <w:r w:rsidR="00B53BC1" w:rsidRPr="005C71B4">
        <w:rPr>
          <w:rStyle w:val="eop"/>
          <w:rFonts w:ascii="Helvetica" w:eastAsia="Helvetica" w:hAnsi="Helvetica" w:cs="Helvetica"/>
          <w:sz w:val="22"/>
          <w:szCs w:val="22"/>
        </w:rPr>
        <w:t xml:space="preserve">. </w:t>
      </w:r>
      <w:r w:rsidRPr="00F819AD">
        <w:rPr>
          <w:rStyle w:val="eop"/>
          <w:rFonts w:ascii="Helvetica" w:eastAsia="Helvetica" w:hAnsi="Helvetica" w:cs="Helvetica"/>
          <w:sz w:val="22"/>
          <w:szCs w:val="22"/>
        </w:rPr>
        <w:t>If we are serious about closing the racial wealth divide</w:t>
      </w:r>
      <w:r w:rsidR="00A322C0">
        <w:rPr>
          <w:rStyle w:val="eop"/>
          <w:rFonts w:ascii="Helvetica" w:eastAsia="Helvetica" w:hAnsi="Helvetica" w:cs="Helvetica"/>
          <w:sz w:val="22"/>
          <w:szCs w:val="22"/>
        </w:rPr>
        <w:t>,</w:t>
      </w:r>
      <w:r w:rsidRPr="00F819AD">
        <w:rPr>
          <w:rStyle w:val="eop"/>
          <w:rFonts w:ascii="Helvetica" w:eastAsia="Helvetica" w:hAnsi="Helvetica" w:cs="Helvetica"/>
          <w:sz w:val="22"/>
          <w:szCs w:val="22"/>
        </w:rPr>
        <w:t xml:space="preserve"> c</w:t>
      </w:r>
      <w:r w:rsidR="00935269" w:rsidRPr="00F819AD">
        <w:rPr>
          <w:rStyle w:val="eop"/>
          <w:rFonts w:ascii="Helvetica" w:eastAsia="Helvetica" w:hAnsi="Helvetica" w:cs="Helvetica"/>
          <w:sz w:val="22"/>
          <w:szCs w:val="22"/>
        </w:rPr>
        <w:t xml:space="preserve">reating </w:t>
      </w:r>
      <w:hyperlink r:id="rId49" w:history="1">
        <w:r w:rsidR="00935269" w:rsidRPr="00F819AD">
          <w:rPr>
            <w:rStyle w:val="Hyperlink"/>
            <w:rFonts w:ascii="Helvetica" w:eastAsia="Helvetica" w:hAnsi="Helvetica" w:cs="Helvetica"/>
            <w:sz w:val="22"/>
            <w:szCs w:val="22"/>
          </w:rPr>
          <w:t>tax policy that steers toward opportunity and equity for all</w:t>
        </w:r>
        <w:r w:rsidR="00D83331" w:rsidRPr="00F819AD">
          <w:rPr>
            <w:rStyle w:val="Hyperlink"/>
            <w:rFonts w:ascii="Helvetica" w:eastAsia="Helvetica" w:hAnsi="Helvetica" w:cs="Helvetica"/>
            <w:sz w:val="22"/>
            <w:szCs w:val="22"/>
          </w:rPr>
          <w:t xml:space="preserve"> Americans</w:t>
        </w:r>
      </w:hyperlink>
      <w:r w:rsidR="00D83331" w:rsidRPr="00F819AD">
        <w:rPr>
          <w:rStyle w:val="eop"/>
          <w:rFonts w:ascii="Helvetica" w:eastAsia="Helvetica" w:hAnsi="Helvetica" w:cs="Helvetica"/>
          <w:sz w:val="22"/>
          <w:szCs w:val="22"/>
        </w:rPr>
        <w:t xml:space="preserve"> is necessary to address</w:t>
      </w:r>
      <w:r w:rsidR="00935269" w:rsidRPr="00F819AD">
        <w:rPr>
          <w:rStyle w:val="eop"/>
          <w:rFonts w:ascii="Helvetica" w:eastAsia="Helvetica" w:hAnsi="Helvetica" w:cs="Helvetica"/>
          <w:sz w:val="22"/>
          <w:szCs w:val="22"/>
        </w:rPr>
        <w:t xml:space="preserve"> these gaping inequalities.</w:t>
      </w:r>
      <w:r w:rsidR="003C2A19" w:rsidRPr="00F819AD">
        <w:rPr>
          <w:rStyle w:val="FootnoteReference"/>
          <w:rFonts w:ascii="Helvetica" w:eastAsia="Helvetica" w:hAnsi="Helvetica" w:cs="Helvetica"/>
          <w:sz w:val="22"/>
          <w:szCs w:val="22"/>
        </w:rPr>
        <w:footnoteReference w:id="55"/>
      </w:r>
    </w:p>
    <w:p w14:paraId="0A1CE0BB" w14:textId="77777777" w:rsidR="003C2A19" w:rsidRPr="00F6022F" w:rsidRDefault="003C2A19" w:rsidP="00F819AD">
      <w:pPr>
        <w:pStyle w:val="paragraph"/>
        <w:spacing w:after="120" w:line="276" w:lineRule="auto"/>
        <w:textAlignment w:val="baseline"/>
        <w:rPr>
          <w:rStyle w:val="eop"/>
          <w:rFonts w:ascii="Helvetica" w:eastAsiaTheme="minorHAnsi" w:hAnsi="Helvetica" w:cs="Helvetica"/>
          <w:sz w:val="22"/>
          <w:szCs w:val="22"/>
        </w:rPr>
      </w:pPr>
    </w:p>
    <w:p w14:paraId="23B6ED50" w14:textId="77777777" w:rsidR="008A3472" w:rsidRPr="00F6022F" w:rsidRDefault="00D83331" w:rsidP="00F819AD">
      <w:pPr>
        <w:pStyle w:val="paragraph"/>
        <w:keepNext/>
        <w:spacing w:after="120" w:line="276" w:lineRule="auto"/>
        <w:jc w:val="center"/>
        <w:textAlignment w:val="baseline"/>
        <w:rPr>
          <w:rFonts w:ascii="Helvetica" w:hAnsi="Helvetica" w:cs="Helvetica"/>
          <w:sz w:val="22"/>
          <w:szCs w:val="22"/>
        </w:rPr>
      </w:pPr>
      <w:r w:rsidRPr="00F6022F">
        <w:rPr>
          <w:rFonts w:ascii="Helvetica" w:hAnsi="Helvetica" w:cs="Helvetica"/>
          <w:noProof/>
          <w:sz w:val="22"/>
          <w:szCs w:val="22"/>
        </w:rPr>
        <w:lastRenderedPageBreak/>
        <w:drawing>
          <wp:inline distT="0" distB="0" distL="0" distR="0" wp14:anchorId="3C70A35C" wp14:editId="07F0FF31">
            <wp:extent cx="4414429" cy="2982097"/>
            <wp:effectExtent l="57150" t="57150" r="120015" b="1231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14429" cy="298209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90C5DB" w14:textId="48978757" w:rsidR="00881D51" w:rsidRPr="00F819AD" w:rsidRDefault="008A3472" w:rsidP="00F819AD">
      <w:pPr>
        <w:pStyle w:val="Caption"/>
        <w:spacing w:after="120" w:line="276" w:lineRule="auto"/>
        <w:jc w:val="center"/>
        <w:rPr>
          <w:rStyle w:val="eop"/>
          <w:rFonts w:ascii="Helvetica" w:eastAsia="Helvetica" w:hAnsi="Helvetica" w:cs="Helvetica"/>
          <w:i w:val="0"/>
          <w:iCs w:val="0"/>
          <w:color w:val="auto"/>
          <w:sz w:val="22"/>
          <w:szCs w:val="22"/>
        </w:rPr>
      </w:pPr>
      <w:r w:rsidRPr="00F819AD">
        <w:rPr>
          <w:rFonts w:ascii="Helvetica" w:eastAsia="Helvetica" w:hAnsi="Helvetica" w:cs="Helvetica"/>
          <w:sz w:val="22"/>
          <w:szCs w:val="22"/>
        </w:rPr>
        <w:t xml:space="preserve">Figure </w:t>
      </w:r>
      <w:r w:rsidR="00036772" w:rsidRPr="00F819AD">
        <w:rPr>
          <w:rFonts w:ascii="Helvetica" w:eastAsia="Helvetica" w:hAnsi="Helvetica" w:cs="Helvetica"/>
          <w:sz w:val="22"/>
          <w:szCs w:val="22"/>
        </w:rPr>
        <w:t>14</w:t>
      </w:r>
      <w:r w:rsidR="002D6167">
        <w:rPr>
          <w:rFonts w:ascii="Helvetica" w:eastAsia="Helvetica" w:hAnsi="Helvetica" w:cs="Helvetica"/>
          <w:sz w:val="22"/>
          <w:szCs w:val="22"/>
        </w:rPr>
        <w:t xml:space="preserve"> </w:t>
      </w:r>
      <w:r w:rsidR="002D6167">
        <w:rPr>
          <w:rStyle w:val="FootnoteReference"/>
          <w:rFonts w:ascii="Helvetica" w:eastAsia="Helvetica" w:hAnsi="Helvetica" w:cs="Helvetica"/>
          <w:sz w:val="22"/>
          <w:szCs w:val="22"/>
        </w:rPr>
        <w:footnoteReference w:id="56"/>
      </w:r>
    </w:p>
    <w:p w14:paraId="0B6F1B79" w14:textId="77777777" w:rsidR="00D83331" w:rsidRPr="00F6022F" w:rsidRDefault="00D83331" w:rsidP="00F819AD">
      <w:pPr>
        <w:pStyle w:val="paragraph"/>
        <w:spacing w:after="120" w:line="276" w:lineRule="auto"/>
        <w:jc w:val="center"/>
        <w:textAlignment w:val="baseline"/>
        <w:rPr>
          <w:rStyle w:val="eop"/>
          <w:rFonts w:ascii="Helvetica" w:eastAsiaTheme="minorHAnsi" w:hAnsi="Helvetica" w:cs="Helvetica"/>
          <w:i/>
          <w:iCs/>
          <w:color w:val="44546A" w:themeColor="text2"/>
          <w:sz w:val="22"/>
          <w:szCs w:val="22"/>
        </w:rPr>
      </w:pPr>
    </w:p>
    <w:p w14:paraId="73DA7073" w14:textId="77777777" w:rsidR="008A3472" w:rsidRPr="00F6022F" w:rsidRDefault="00D83331" w:rsidP="00F819AD">
      <w:pPr>
        <w:pStyle w:val="paragraph"/>
        <w:keepNext/>
        <w:spacing w:after="120" w:line="276" w:lineRule="auto"/>
        <w:jc w:val="center"/>
        <w:textAlignment w:val="baseline"/>
        <w:rPr>
          <w:rFonts w:ascii="Helvetica" w:hAnsi="Helvetica" w:cs="Helvetica"/>
          <w:sz w:val="22"/>
          <w:szCs w:val="22"/>
        </w:rPr>
      </w:pPr>
      <w:r w:rsidRPr="00F6022F">
        <w:rPr>
          <w:rFonts w:ascii="Helvetica" w:hAnsi="Helvetica" w:cs="Helvetica"/>
          <w:noProof/>
          <w:sz w:val="22"/>
          <w:szCs w:val="22"/>
        </w:rPr>
        <w:drawing>
          <wp:inline distT="0" distB="0" distL="0" distR="0" wp14:anchorId="4C6DCCE9" wp14:editId="257AB7F1">
            <wp:extent cx="4413634" cy="2471352"/>
            <wp:effectExtent l="57150" t="57150" r="120650" b="1200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25401" cy="24779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5695E1" w14:textId="7DDC10B5" w:rsidR="00D83331" w:rsidRPr="00F819AD" w:rsidRDefault="008A3472" w:rsidP="00F819AD">
      <w:pPr>
        <w:pStyle w:val="Caption"/>
        <w:spacing w:after="120" w:line="276" w:lineRule="auto"/>
        <w:jc w:val="center"/>
        <w:rPr>
          <w:rStyle w:val="eop"/>
          <w:rFonts w:ascii="Helvetica" w:eastAsia="Helvetica" w:hAnsi="Helvetica" w:cs="Helvetica"/>
          <w:i w:val="0"/>
          <w:iCs w:val="0"/>
          <w:color w:val="auto"/>
          <w:sz w:val="22"/>
          <w:szCs w:val="22"/>
        </w:rPr>
      </w:pPr>
      <w:r w:rsidRPr="00F819AD">
        <w:rPr>
          <w:rFonts w:ascii="Helvetica" w:eastAsia="Helvetica" w:hAnsi="Helvetica" w:cs="Helvetica"/>
          <w:sz w:val="22"/>
          <w:szCs w:val="22"/>
        </w:rPr>
        <w:t xml:space="preserve">Figure </w:t>
      </w:r>
      <w:r w:rsidR="00036772" w:rsidRPr="00F819AD">
        <w:rPr>
          <w:rFonts w:ascii="Helvetica" w:eastAsia="Helvetica" w:hAnsi="Helvetica" w:cs="Helvetica"/>
          <w:sz w:val="22"/>
          <w:szCs w:val="22"/>
        </w:rPr>
        <w:t>15</w:t>
      </w:r>
      <w:r w:rsidR="002D6167">
        <w:rPr>
          <w:rFonts w:ascii="Helvetica" w:eastAsia="Helvetica" w:hAnsi="Helvetica" w:cs="Helvetica"/>
          <w:sz w:val="22"/>
          <w:szCs w:val="22"/>
        </w:rPr>
        <w:t xml:space="preserve"> </w:t>
      </w:r>
      <w:r w:rsidR="002D6167">
        <w:rPr>
          <w:rStyle w:val="FootnoteReference"/>
          <w:rFonts w:ascii="Helvetica" w:eastAsia="Helvetica" w:hAnsi="Helvetica" w:cs="Helvetica"/>
          <w:sz w:val="22"/>
          <w:szCs w:val="22"/>
        </w:rPr>
        <w:footnoteReference w:id="57"/>
      </w:r>
    </w:p>
    <w:p w14:paraId="52226D60" w14:textId="77777777" w:rsidR="00D83331" w:rsidRPr="00F6022F" w:rsidRDefault="00D83331" w:rsidP="00F819AD">
      <w:pPr>
        <w:pStyle w:val="paragraph"/>
        <w:spacing w:after="120" w:line="276" w:lineRule="auto"/>
        <w:textAlignment w:val="baseline"/>
        <w:rPr>
          <w:rStyle w:val="eop"/>
          <w:rFonts w:ascii="Helvetica" w:eastAsiaTheme="minorHAnsi" w:hAnsi="Helvetica" w:cs="Helvetica"/>
          <w:i/>
          <w:iCs/>
          <w:color w:val="44546A" w:themeColor="text2"/>
          <w:sz w:val="22"/>
          <w:szCs w:val="22"/>
        </w:rPr>
      </w:pPr>
    </w:p>
    <w:p w14:paraId="59CBF505" w14:textId="5314D41E" w:rsidR="00A322C0" w:rsidRPr="00F07FCD" w:rsidRDefault="00A322C0" w:rsidP="00A322C0">
      <w:pPr>
        <w:pStyle w:val="paragraph"/>
        <w:spacing w:after="120" w:line="276" w:lineRule="auto"/>
        <w:textAlignment w:val="baseline"/>
        <w:rPr>
          <w:rStyle w:val="eop"/>
          <w:rFonts w:ascii="Helvetica" w:eastAsia="Helvetica" w:hAnsi="Helvetica" w:cs="Helvetica"/>
          <w:b/>
          <w:sz w:val="28"/>
          <w:szCs w:val="28"/>
        </w:rPr>
      </w:pPr>
      <w:r w:rsidRPr="00F07FCD">
        <w:rPr>
          <w:rStyle w:val="eop"/>
          <w:rFonts w:ascii="Helvetica" w:eastAsia="Helvetica" w:hAnsi="Helvetica" w:cs="Helvetica"/>
          <w:b/>
          <w:sz w:val="28"/>
          <w:szCs w:val="28"/>
        </w:rPr>
        <w:lastRenderedPageBreak/>
        <w:t>T</w:t>
      </w:r>
      <w:r>
        <w:rPr>
          <w:rStyle w:val="eop"/>
          <w:rFonts w:ascii="Helvetica" w:eastAsia="Helvetica" w:hAnsi="Helvetica" w:cs="Helvetica"/>
          <w:b/>
          <w:sz w:val="28"/>
          <w:szCs w:val="28"/>
        </w:rPr>
        <w:t>ax Credits for Working Families</w:t>
      </w:r>
    </w:p>
    <w:p w14:paraId="46A53334" w14:textId="1349D5E9" w:rsidR="00D83331" w:rsidRPr="00F819AD" w:rsidRDefault="00A322C0" w:rsidP="00F819AD">
      <w:pPr>
        <w:pStyle w:val="paragraph"/>
        <w:spacing w:after="120" w:line="276" w:lineRule="auto"/>
        <w:textAlignment w:val="baseline"/>
        <w:rPr>
          <w:rStyle w:val="eop"/>
          <w:rFonts w:ascii="Helvetica" w:eastAsia="Helvetica" w:hAnsi="Helvetica" w:cs="Helvetica"/>
          <w:sz w:val="22"/>
          <w:szCs w:val="22"/>
        </w:rPr>
      </w:pPr>
      <w:r w:rsidRPr="00F703CB">
        <w:rPr>
          <w:rFonts w:ascii="Helvetica" w:hAnsi="Helvetica" w:cs="Helvetica"/>
          <w:noProof/>
          <w:sz w:val="22"/>
          <w:szCs w:val="22"/>
        </w:rPr>
        <w:drawing>
          <wp:anchor distT="0" distB="0" distL="114300" distR="114300" simplePos="0" relativeHeight="251694080" behindDoc="1" locked="0" layoutInCell="1" allowOverlap="1" wp14:anchorId="35C7B4F8" wp14:editId="58197BC8">
            <wp:simplePos x="0" y="0"/>
            <wp:positionH relativeFrom="column">
              <wp:posOffset>3895090</wp:posOffset>
            </wp:positionH>
            <wp:positionV relativeFrom="paragraph">
              <wp:posOffset>914400</wp:posOffset>
            </wp:positionV>
            <wp:extent cx="2376170" cy="3790950"/>
            <wp:effectExtent l="57150" t="57150" r="119380" b="114300"/>
            <wp:wrapTight wrapText="bothSides">
              <wp:wrapPolygon edited="0">
                <wp:start x="-173" y="-326"/>
                <wp:lineTo x="-520" y="-217"/>
                <wp:lineTo x="-520" y="21709"/>
                <wp:lineTo x="-173" y="22143"/>
                <wp:lineTo x="22166" y="22143"/>
                <wp:lineTo x="22512" y="20732"/>
                <wp:lineTo x="22512" y="1520"/>
                <wp:lineTo x="21993" y="-109"/>
                <wp:lineTo x="21993" y="-326"/>
                <wp:lineTo x="-173" y="-32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6170" cy="3790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B3FF8" w:rsidRPr="00F819AD">
        <w:rPr>
          <w:rStyle w:val="eop"/>
          <w:rFonts w:ascii="Helvetica" w:eastAsia="Helvetica" w:hAnsi="Helvetica" w:cs="Helvetica"/>
          <w:sz w:val="22"/>
          <w:szCs w:val="22"/>
        </w:rPr>
        <w:t xml:space="preserve">Consequently, tax policy that benefits families in need and people of color as well as other savings policies will help to close the racial wealth gap and decrease poverty rates. </w:t>
      </w:r>
      <w:r w:rsidR="00D83331" w:rsidRPr="00F819AD">
        <w:rPr>
          <w:rStyle w:val="eop"/>
          <w:rFonts w:ascii="Helvetica" w:eastAsia="Helvetica" w:hAnsi="Helvetica" w:cs="Helvetica"/>
          <w:sz w:val="22"/>
          <w:szCs w:val="22"/>
        </w:rPr>
        <w:t xml:space="preserve">The Earned Income Tax Credit (EITC) and low-income portion of the Child Tax Credit (CTC) are particularly beneficial </w:t>
      </w:r>
      <w:r w:rsidR="009B3FF8" w:rsidRPr="00F819AD">
        <w:rPr>
          <w:rStyle w:val="eop"/>
          <w:rFonts w:ascii="Helvetica" w:eastAsia="Helvetica" w:hAnsi="Helvetica" w:cs="Helvetica"/>
          <w:sz w:val="22"/>
          <w:szCs w:val="22"/>
        </w:rPr>
        <w:t xml:space="preserve">policies </w:t>
      </w:r>
      <w:r w:rsidR="00D83331" w:rsidRPr="00F819AD">
        <w:rPr>
          <w:rStyle w:val="eop"/>
          <w:rFonts w:ascii="Helvetica" w:eastAsia="Helvetica" w:hAnsi="Helvetica" w:cs="Helvetica"/>
          <w:sz w:val="22"/>
          <w:szCs w:val="22"/>
        </w:rPr>
        <w:t xml:space="preserve">for communities of color because these communities experience higher rates of poverty. </w:t>
      </w:r>
    </w:p>
    <w:p w14:paraId="2DC5FE16" w14:textId="4293E681" w:rsidR="00A322C0" w:rsidRDefault="00DB2512" w:rsidP="00F819AD">
      <w:pPr>
        <w:pStyle w:val="paragraph"/>
        <w:spacing w:after="120" w:line="276" w:lineRule="auto"/>
        <w:rPr>
          <w:rFonts w:ascii="Helvetica" w:eastAsia="Helvetica" w:hAnsi="Helvetica" w:cs="Helvetica"/>
          <w:sz w:val="22"/>
          <w:szCs w:val="22"/>
        </w:rPr>
      </w:pPr>
      <w:r w:rsidRPr="00F819AD">
        <w:rPr>
          <w:rFonts w:ascii="Helvetica" w:eastAsia="Helvetica" w:hAnsi="Helvetica" w:cs="Helvetica"/>
        </w:rPr>
        <w:t>T</w:t>
      </w:r>
      <w:r w:rsidR="00C550D1" w:rsidRPr="00F819AD">
        <w:rPr>
          <w:rStyle w:val="eop"/>
          <w:rFonts w:ascii="Helvetica" w:eastAsia="Helvetica" w:hAnsi="Helvetica" w:cs="Helvetica"/>
          <w:sz w:val="22"/>
          <w:szCs w:val="22"/>
        </w:rPr>
        <w:t xml:space="preserve">he EITC </w:t>
      </w:r>
      <w:r w:rsidR="00C550D1" w:rsidRPr="00F819AD">
        <w:rPr>
          <w:rFonts w:ascii="Helvetica" w:eastAsia="Helvetica" w:hAnsi="Helvetica" w:cs="Helvetica"/>
          <w:sz w:val="22"/>
          <w:szCs w:val="22"/>
        </w:rPr>
        <w:t>is a refundable federal tax credit available to working individuals and families who work in low-wage jobs. This successful program is designed to “make work pay</w:t>
      </w:r>
      <w:r w:rsidR="00A322C0">
        <w:rPr>
          <w:rFonts w:ascii="Helvetica" w:eastAsia="Helvetica" w:hAnsi="Helvetica" w:cs="Helvetica"/>
          <w:sz w:val="22"/>
          <w:szCs w:val="22"/>
        </w:rPr>
        <w:t>.</w:t>
      </w:r>
      <w:r w:rsidR="00C550D1" w:rsidRPr="00F819AD">
        <w:rPr>
          <w:rFonts w:ascii="Helvetica" w:eastAsia="Helvetica" w:hAnsi="Helvetica" w:cs="Helvetica"/>
          <w:sz w:val="22"/>
          <w:szCs w:val="22"/>
        </w:rPr>
        <w:t xml:space="preserve">” </w:t>
      </w:r>
      <w:r w:rsidR="00A322C0">
        <w:rPr>
          <w:rFonts w:ascii="Helvetica" w:eastAsia="Helvetica" w:hAnsi="Helvetica" w:cs="Helvetica"/>
          <w:sz w:val="22"/>
          <w:szCs w:val="22"/>
        </w:rPr>
        <w:t>I</w:t>
      </w:r>
      <w:r w:rsidR="00C550D1" w:rsidRPr="00F819AD">
        <w:rPr>
          <w:rFonts w:ascii="Helvetica" w:eastAsia="Helvetica" w:hAnsi="Helvetica" w:cs="Helvetica"/>
          <w:sz w:val="22"/>
          <w:szCs w:val="22"/>
        </w:rPr>
        <w:t xml:space="preserve">n addition to supplementing low-wage work with additional income, the higher the income a person earns, the higher the EITC they receive. The CTC is a partially refundable federal tax credit designed to help families offset some of the costs of raising children. </w:t>
      </w:r>
    </w:p>
    <w:p w14:paraId="576937B5" w14:textId="3EFEB92E" w:rsidR="00F6022F" w:rsidRPr="00F819AD" w:rsidRDefault="00A322C0" w:rsidP="00F819AD">
      <w:pPr>
        <w:pStyle w:val="paragraph"/>
        <w:spacing w:after="120" w:line="276" w:lineRule="auto"/>
        <w:rPr>
          <w:rFonts w:ascii="Helvetica" w:eastAsia="Helvetica" w:hAnsi="Helvetica" w:cs="Helvetica"/>
          <w:sz w:val="22"/>
          <w:szCs w:val="22"/>
        </w:rPr>
      </w:pPr>
      <w:r>
        <w:rPr>
          <w:rFonts w:ascii="Helvetica" w:eastAsia="Helvetica" w:hAnsi="Helvetica" w:cs="Helvetica"/>
          <w:sz w:val="22"/>
          <w:szCs w:val="22"/>
        </w:rPr>
        <w:t xml:space="preserve">While extremely beneficial to families on their own, when the EITC and CTC are combined, they serve as one of the most </w:t>
      </w:r>
      <w:r w:rsidR="00C550D1" w:rsidRPr="00F819AD">
        <w:rPr>
          <w:rFonts w:ascii="Helvetica" w:eastAsia="Helvetica" w:hAnsi="Helvetica" w:cs="Helvetica"/>
          <w:sz w:val="22"/>
          <w:szCs w:val="22"/>
        </w:rPr>
        <w:t>effective anti-poverty tool</w:t>
      </w:r>
      <w:r>
        <w:rPr>
          <w:rFonts w:ascii="Helvetica" w:eastAsia="Helvetica" w:hAnsi="Helvetica" w:cs="Helvetica"/>
          <w:sz w:val="22"/>
          <w:szCs w:val="22"/>
        </w:rPr>
        <w:t xml:space="preserve"> available</w:t>
      </w:r>
      <w:r w:rsidR="00C550D1" w:rsidRPr="00F819AD">
        <w:rPr>
          <w:rFonts w:ascii="Helvetica" w:eastAsia="Helvetica" w:hAnsi="Helvetica" w:cs="Helvetica"/>
          <w:sz w:val="22"/>
          <w:szCs w:val="22"/>
        </w:rPr>
        <w:t xml:space="preserve">. The Center for Budget and Policy Priorities estimates that in 2016, the </w:t>
      </w:r>
      <w:hyperlink r:id="rId53" w:history="1">
        <w:r w:rsidR="00C550D1" w:rsidRPr="00F819AD">
          <w:rPr>
            <w:rStyle w:val="Hyperlink"/>
            <w:rFonts w:ascii="Helvetica" w:eastAsia="Helvetica" w:hAnsi="Helvetica" w:cs="Helvetica"/>
            <w:color w:val="auto"/>
            <w:sz w:val="22"/>
            <w:szCs w:val="22"/>
          </w:rPr>
          <w:t>EITC and CTC together lifted 8.9 million people and 4.7 million children out of poverty</w:t>
        </w:r>
      </w:hyperlink>
      <w:r w:rsidR="00C550D1" w:rsidRPr="62AAFDA4">
        <w:t>.</w:t>
      </w:r>
      <w:r w:rsidR="003C2A19" w:rsidRPr="00F819AD">
        <w:rPr>
          <w:rStyle w:val="FootnoteReference"/>
          <w:rFonts w:ascii="Helvetica" w:eastAsia="Helvetica" w:hAnsi="Helvetica" w:cs="Helvetica"/>
          <w:i/>
          <w:iCs/>
          <w:sz w:val="22"/>
          <w:szCs w:val="22"/>
        </w:rPr>
        <w:footnoteReference w:id="58"/>
      </w:r>
      <w:r w:rsidR="00C550D1" w:rsidRPr="00F819AD">
        <w:rPr>
          <w:rFonts w:ascii="Helvetica" w:hAnsi="Helvetica" w:cs="Helvetica"/>
          <w:sz w:val="22"/>
          <w:szCs w:val="22"/>
        </w:rPr>
        <w:t xml:space="preserve"> </w:t>
      </w:r>
      <w:r w:rsidRPr="00F819AD">
        <w:rPr>
          <w:rFonts w:ascii="Helvetica" w:hAnsi="Helvetica" w:cs="Helvetica"/>
          <w:sz w:val="22"/>
          <w:szCs w:val="22"/>
        </w:rPr>
        <w:t>Only Social Security lifts more people out of poverty</w:t>
      </w:r>
      <w:r>
        <w:rPr>
          <w:rFonts w:ascii="Helvetica" w:hAnsi="Helvetica" w:cs="Helvetica"/>
          <w:sz w:val="22"/>
          <w:szCs w:val="22"/>
        </w:rPr>
        <w:t xml:space="preserve"> each year</w:t>
      </w:r>
      <w:r w:rsidRPr="00F819AD">
        <w:rPr>
          <w:rFonts w:ascii="Helvetica" w:hAnsi="Helvetica" w:cs="Helvetica"/>
          <w:sz w:val="22"/>
          <w:szCs w:val="22"/>
        </w:rPr>
        <w:t xml:space="preserve">. </w:t>
      </w:r>
    </w:p>
    <w:p w14:paraId="40CD71C5" w14:textId="04A6E32C" w:rsidR="00F6022F" w:rsidRPr="00F819AD" w:rsidRDefault="00F6022F" w:rsidP="00F819AD">
      <w:pPr>
        <w:pStyle w:val="paragraph"/>
        <w:spacing w:after="120" w:line="276" w:lineRule="auto"/>
        <w:textAlignment w:val="baseline"/>
        <w:rPr>
          <w:rStyle w:val="eop"/>
          <w:rFonts w:ascii="Helvetica" w:eastAsia="Helvetica" w:hAnsi="Helvetica" w:cs="Helvetica"/>
          <w:sz w:val="22"/>
          <w:szCs w:val="22"/>
        </w:rPr>
      </w:pPr>
    </w:p>
    <w:p w14:paraId="25818603" w14:textId="5A8ED38F" w:rsidR="00C550D1" w:rsidRPr="00B21E02" w:rsidRDefault="00C550D1" w:rsidP="00F819AD">
      <w:pPr>
        <w:pStyle w:val="paragraph"/>
        <w:spacing w:after="120" w:line="276" w:lineRule="auto"/>
        <w:textAlignment w:val="baseline"/>
        <w:rPr>
          <w:rStyle w:val="normaltextrun1"/>
          <w:rFonts w:ascii="Arial" w:eastAsiaTheme="minorHAnsi" w:hAnsi="Arial" w:cs="Arial"/>
          <w:sz w:val="22"/>
          <w:szCs w:val="22"/>
        </w:rPr>
      </w:pPr>
    </w:p>
    <w:p w14:paraId="26174E6A" w14:textId="77777777" w:rsidR="00DB2512" w:rsidRDefault="00DB2512" w:rsidP="00F819AD">
      <w:pPr>
        <w:pStyle w:val="paragraph"/>
        <w:spacing w:after="120" w:line="276" w:lineRule="auto"/>
        <w:textAlignment w:val="baseline"/>
        <w:rPr>
          <w:rFonts w:ascii="Arial" w:hAnsi="Arial" w:cs="Arial"/>
          <w:b/>
          <w:color w:val="C00000"/>
          <w:sz w:val="36"/>
          <w:szCs w:val="36"/>
        </w:rPr>
      </w:pPr>
    </w:p>
    <w:p w14:paraId="074C1265" w14:textId="6E48F9D0" w:rsidR="00DB2512" w:rsidRDefault="000E7E94" w:rsidP="00F819AD">
      <w:pPr>
        <w:pStyle w:val="paragraph"/>
        <w:spacing w:after="120" w:line="276" w:lineRule="auto"/>
        <w:textAlignment w:val="baseline"/>
        <w:rPr>
          <w:rFonts w:ascii="Arial" w:hAnsi="Arial" w:cs="Arial"/>
          <w:b/>
          <w:color w:val="C00000"/>
          <w:sz w:val="36"/>
          <w:szCs w:val="36"/>
        </w:rPr>
      </w:pPr>
      <w:r>
        <w:rPr>
          <w:noProof/>
        </w:rPr>
        <mc:AlternateContent>
          <mc:Choice Requires="wps">
            <w:drawing>
              <wp:anchor distT="0" distB="0" distL="114300" distR="114300" simplePos="0" relativeHeight="251702272" behindDoc="1" locked="0" layoutInCell="1" allowOverlap="1" wp14:anchorId="49A79C9B" wp14:editId="496CEA5F">
                <wp:simplePos x="0" y="0"/>
                <wp:positionH relativeFrom="column">
                  <wp:posOffset>4076700</wp:posOffset>
                </wp:positionH>
                <wp:positionV relativeFrom="paragraph">
                  <wp:posOffset>10795</wp:posOffset>
                </wp:positionV>
                <wp:extent cx="213804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2138045" cy="635"/>
                        </a:xfrm>
                        <a:prstGeom prst="rect">
                          <a:avLst/>
                        </a:prstGeom>
                        <a:solidFill>
                          <a:prstClr val="white"/>
                        </a:solidFill>
                        <a:ln>
                          <a:noFill/>
                        </a:ln>
                      </wps:spPr>
                      <wps:txbx>
                        <w:txbxContent>
                          <w:p w14:paraId="1D325FF4" w14:textId="7FF218DE" w:rsidR="00601F98" w:rsidRPr="00F819AD" w:rsidRDefault="00601F98" w:rsidP="00F819AD">
                            <w:pPr>
                              <w:pStyle w:val="Caption"/>
                              <w:jc w:val="center"/>
                              <w:rPr>
                                <w:rFonts w:ascii="Arial" w:hAnsi="Arial" w:cs="Arial"/>
                                <w:sz w:val="22"/>
                                <w:szCs w:val="22"/>
                                <w:vertAlign w:val="superscript"/>
                              </w:rPr>
                            </w:pPr>
                            <w:r w:rsidRPr="00F819AD">
                              <w:rPr>
                                <w:rFonts w:ascii="Arial" w:hAnsi="Arial" w:cs="Arial"/>
                                <w:sz w:val="22"/>
                                <w:szCs w:val="22"/>
                              </w:rPr>
                              <w:t xml:space="preserve">Figure </w:t>
                            </w:r>
                            <w:r>
                              <w:rPr>
                                <w:rFonts w:ascii="Arial" w:hAnsi="Arial" w:cs="Arial"/>
                                <w:sz w:val="22"/>
                                <w:szCs w:val="22"/>
                              </w:rPr>
                              <w:t>16</w:t>
                            </w:r>
                            <w:r>
                              <w:rPr>
                                <w:rFonts w:ascii="Arial" w:hAnsi="Arial" w:cs="Arial"/>
                                <w:sz w:val="22"/>
                                <w:szCs w:val="22"/>
                                <w:vertAlign w:val="superscript"/>
                              </w:rPr>
                              <w:t xml:space="preserve"> 62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79C9B" id="Text Box 34" o:spid="_x0000_s1033" type="#_x0000_t202" style="position:absolute;margin-left:321pt;margin-top:.85pt;width:168.35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" stroked="f">
                <v:textbox style="mso-fit-shape-to-text:t" inset="0,0,0,0">
                  <w:txbxContent>
                    <w:p w14:paraId="1D325FF4" w14:textId="7FF218DE" w:rsidR="00601F98" w:rsidRPr="00F819AD" w:rsidRDefault="00601F98" w:rsidP="00F819AD">
                      <w:pPr>
                        <w:pStyle w:val="Caption"/>
                        <w:jc w:val="center"/>
                        <w:rPr>
                          <w:rFonts w:ascii="Arial" w:hAnsi="Arial" w:cs="Arial"/>
                          <w:sz w:val="22"/>
                          <w:szCs w:val="22"/>
                          <w:vertAlign w:val="superscript"/>
                        </w:rPr>
                      </w:pPr>
                      <w:r w:rsidRPr="00F819AD">
                        <w:rPr>
                          <w:rFonts w:ascii="Arial" w:hAnsi="Arial" w:cs="Arial"/>
                          <w:sz w:val="22"/>
                          <w:szCs w:val="22"/>
                        </w:rPr>
                        <w:t xml:space="preserve">Figure </w:t>
                      </w:r>
                      <w:r>
                        <w:rPr>
                          <w:rFonts w:ascii="Arial" w:hAnsi="Arial" w:cs="Arial"/>
                          <w:sz w:val="22"/>
                          <w:szCs w:val="22"/>
                        </w:rPr>
                        <w:t>16</w:t>
                      </w:r>
                      <w:r>
                        <w:rPr>
                          <w:rFonts w:ascii="Arial" w:hAnsi="Arial" w:cs="Arial"/>
                          <w:sz w:val="22"/>
                          <w:szCs w:val="22"/>
                          <w:vertAlign w:val="superscript"/>
                        </w:rPr>
                        <w:t xml:space="preserve"> 62</w:t>
                      </w:r>
                    </w:p>
                  </w:txbxContent>
                </v:textbox>
                <w10:wrap type="tight"/>
              </v:shape>
            </w:pict>
          </mc:Fallback>
        </mc:AlternateContent>
      </w:r>
    </w:p>
    <w:p w14:paraId="7791AAB0" w14:textId="62458D96" w:rsidR="00D54AC6" w:rsidRPr="00F819AD" w:rsidRDefault="003C2A19" w:rsidP="00F819AD">
      <w:pPr>
        <w:pStyle w:val="paragraph"/>
        <w:spacing w:before="240" w:after="120" w:line="276" w:lineRule="auto"/>
        <w:textAlignment w:val="baseline"/>
        <w:rPr>
          <w:rFonts w:ascii="Arial" w:eastAsia="Arial" w:hAnsi="Arial" w:cs="Arial"/>
          <w:b/>
          <w:color w:val="C00000"/>
          <w:sz w:val="36"/>
          <w:szCs w:val="36"/>
        </w:rPr>
      </w:pPr>
      <w:r w:rsidRPr="00F819AD">
        <w:rPr>
          <w:rFonts w:ascii="Arial" w:eastAsia="Arial" w:hAnsi="Arial" w:cs="Arial"/>
          <w:b/>
          <w:color w:val="C00000"/>
          <w:sz w:val="36"/>
          <w:szCs w:val="36"/>
        </w:rPr>
        <w:t>What Will It Take</w:t>
      </w:r>
      <w:r w:rsidR="00D54AC6" w:rsidRPr="00F819AD">
        <w:rPr>
          <w:rFonts w:ascii="Arial" w:eastAsia="Arial" w:hAnsi="Arial" w:cs="Arial"/>
          <w:b/>
          <w:color w:val="C00000"/>
          <w:sz w:val="36"/>
          <w:szCs w:val="36"/>
        </w:rPr>
        <w:t xml:space="preserve"> to Address the Racial Wealth Divide</w:t>
      </w:r>
      <w:r w:rsidRPr="00F819AD">
        <w:rPr>
          <w:rFonts w:ascii="Arial" w:eastAsia="Arial" w:hAnsi="Arial" w:cs="Arial"/>
          <w:b/>
          <w:color w:val="C00000"/>
          <w:sz w:val="36"/>
          <w:szCs w:val="36"/>
        </w:rPr>
        <w:t>?</w:t>
      </w:r>
      <w:r w:rsidR="00D54AC6" w:rsidRPr="00F819AD">
        <w:rPr>
          <w:rFonts w:ascii="Arial" w:eastAsia="Arial" w:hAnsi="Arial" w:cs="Arial"/>
          <w:b/>
          <w:color w:val="C00000"/>
          <w:sz w:val="36"/>
          <w:szCs w:val="36"/>
        </w:rPr>
        <w:t xml:space="preserve"> </w:t>
      </w:r>
    </w:p>
    <w:p w14:paraId="66ACB74B" w14:textId="665AC935" w:rsidR="004B58AF" w:rsidRPr="00F819AD" w:rsidRDefault="00D6724F" w:rsidP="00F819AD">
      <w:pPr>
        <w:pStyle w:val="paragraph"/>
        <w:spacing w:after="120" w:line="276" w:lineRule="auto"/>
        <w:textAlignment w:val="baseline"/>
        <w:rPr>
          <w:rFonts w:ascii="Arial" w:eastAsia="Arial" w:hAnsi="Arial" w:cs="Arial"/>
          <w:sz w:val="22"/>
          <w:szCs w:val="22"/>
        </w:rPr>
      </w:pPr>
      <w:r w:rsidRPr="00F819AD">
        <w:rPr>
          <w:rFonts w:ascii="Arial" w:eastAsia="Arial" w:hAnsi="Arial" w:cs="Arial"/>
          <w:sz w:val="22"/>
          <w:szCs w:val="22"/>
        </w:rPr>
        <w:t>The racial wealth divide is a complex problem</w:t>
      </w:r>
      <w:r w:rsidR="00AB5AB2" w:rsidRPr="00F819AD">
        <w:rPr>
          <w:rFonts w:ascii="Arial" w:eastAsia="Arial" w:hAnsi="Arial" w:cs="Arial"/>
          <w:sz w:val="22"/>
          <w:szCs w:val="22"/>
        </w:rPr>
        <w:t xml:space="preserve"> that is largely driven by public policy decisions</w:t>
      </w:r>
      <w:r w:rsidRPr="00F819AD">
        <w:rPr>
          <w:rFonts w:ascii="Arial" w:eastAsia="Arial" w:hAnsi="Arial" w:cs="Arial"/>
          <w:sz w:val="22"/>
          <w:szCs w:val="22"/>
        </w:rPr>
        <w:t xml:space="preserve">. However, </w:t>
      </w:r>
      <w:r w:rsidR="003817B3" w:rsidRPr="00F819AD">
        <w:rPr>
          <w:rFonts w:ascii="Arial" w:eastAsia="Arial" w:hAnsi="Arial" w:cs="Arial"/>
          <w:sz w:val="22"/>
          <w:szCs w:val="22"/>
        </w:rPr>
        <w:t>several faulty ideas or myths exist about the rea</w:t>
      </w:r>
      <w:r w:rsidR="00CE1E46" w:rsidRPr="00F819AD">
        <w:rPr>
          <w:rFonts w:ascii="Arial" w:eastAsia="Arial" w:hAnsi="Arial" w:cs="Arial"/>
          <w:sz w:val="22"/>
          <w:szCs w:val="22"/>
        </w:rPr>
        <w:t>sons behind the racial wealth divide and how to address it</w:t>
      </w:r>
      <w:r w:rsidR="00A322C0">
        <w:rPr>
          <w:rFonts w:ascii="Arial" w:eastAsia="Arial" w:hAnsi="Arial" w:cs="Arial"/>
          <w:sz w:val="22"/>
          <w:szCs w:val="22"/>
        </w:rPr>
        <w:t>. These myths</w:t>
      </w:r>
      <w:r w:rsidR="00CE1E46" w:rsidRPr="00F819AD">
        <w:rPr>
          <w:rFonts w:ascii="Arial" w:eastAsia="Arial" w:hAnsi="Arial" w:cs="Arial"/>
          <w:sz w:val="22"/>
          <w:szCs w:val="22"/>
        </w:rPr>
        <w:t xml:space="preserve"> are primarily rooted in </w:t>
      </w:r>
      <w:r w:rsidR="003D1F4F" w:rsidRPr="00F819AD">
        <w:rPr>
          <w:rFonts w:ascii="Arial" w:eastAsia="Arial" w:hAnsi="Arial" w:cs="Arial"/>
          <w:sz w:val="22"/>
          <w:szCs w:val="22"/>
        </w:rPr>
        <w:t xml:space="preserve">racist stereotypes and </w:t>
      </w:r>
      <w:r w:rsidR="00AB5AB2" w:rsidRPr="00F819AD">
        <w:rPr>
          <w:rFonts w:ascii="Arial" w:eastAsia="Arial" w:hAnsi="Arial" w:cs="Arial"/>
          <w:sz w:val="22"/>
          <w:szCs w:val="22"/>
        </w:rPr>
        <w:t>f</w:t>
      </w:r>
      <w:r w:rsidR="00CE1E46" w:rsidRPr="00F819AD">
        <w:rPr>
          <w:rFonts w:ascii="Arial" w:eastAsia="Arial" w:hAnsi="Arial" w:cs="Arial"/>
          <w:sz w:val="22"/>
          <w:szCs w:val="22"/>
        </w:rPr>
        <w:t xml:space="preserve">alse </w:t>
      </w:r>
      <w:r w:rsidR="00AB5AB2" w:rsidRPr="00F819AD">
        <w:rPr>
          <w:rFonts w:ascii="Arial" w:eastAsia="Arial" w:hAnsi="Arial" w:cs="Arial"/>
          <w:sz w:val="22"/>
          <w:szCs w:val="22"/>
        </w:rPr>
        <w:t xml:space="preserve">narratives about </w:t>
      </w:r>
      <w:r w:rsidR="00FC46A8" w:rsidRPr="00F819AD">
        <w:rPr>
          <w:rFonts w:ascii="Arial" w:eastAsia="Arial" w:hAnsi="Arial" w:cs="Arial"/>
          <w:sz w:val="22"/>
          <w:szCs w:val="22"/>
        </w:rPr>
        <w:t>why people are in poverty</w:t>
      </w:r>
      <w:r w:rsidR="00446E5C" w:rsidRPr="00F819AD">
        <w:rPr>
          <w:rFonts w:ascii="Arial" w:eastAsia="Arial" w:hAnsi="Arial" w:cs="Arial"/>
          <w:sz w:val="22"/>
          <w:szCs w:val="22"/>
        </w:rPr>
        <w:t>.</w:t>
      </w:r>
      <w:r w:rsidR="003D1F4F" w:rsidRPr="00F819AD">
        <w:rPr>
          <w:rFonts w:ascii="Arial" w:eastAsia="Arial" w:hAnsi="Arial" w:cs="Arial"/>
          <w:sz w:val="22"/>
          <w:szCs w:val="22"/>
        </w:rPr>
        <w:t xml:space="preserve"> </w:t>
      </w:r>
      <w:r w:rsidR="00C758BA" w:rsidRPr="00F819AD">
        <w:rPr>
          <w:rFonts w:ascii="Arial" w:eastAsia="Arial" w:hAnsi="Arial" w:cs="Arial"/>
          <w:sz w:val="22"/>
          <w:szCs w:val="22"/>
        </w:rPr>
        <w:t>Some of th</w:t>
      </w:r>
      <w:r w:rsidR="00BB42F1" w:rsidRPr="00F819AD">
        <w:rPr>
          <w:rFonts w:ascii="Arial" w:eastAsia="Arial" w:hAnsi="Arial" w:cs="Arial"/>
          <w:sz w:val="22"/>
          <w:szCs w:val="22"/>
        </w:rPr>
        <w:t>es</w:t>
      </w:r>
      <w:r w:rsidR="00C758BA" w:rsidRPr="00F819AD">
        <w:rPr>
          <w:rFonts w:ascii="Arial" w:eastAsia="Arial" w:hAnsi="Arial" w:cs="Arial"/>
          <w:sz w:val="22"/>
          <w:szCs w:val="22"/>
        </w:rPr>
        <w:t xml:space="preserve">e most widely held notions </w:t>
      </w:r>
      <w:r w:rsidR="00290A11" w:rsidRPr="00F819AD">
        <w:rPr>
          <w:rFonts w:ascii="Arial" w:eastAsia="Arial" w:hAnsi="Arial" w:cs="Arial"/>
          <w:sz w:val="22"/>
          <w:szCs w:val="22"/>
        </w:rPr>
        <w:t>are listed below.</w:t>
      </w:r>
    </w:p>
    <w:p w14:paraId="45658036" w14:textId="77777777" w:rsidR="004C56CE" w:rsidRPr="00B21E02" w:rsidRDefault="004C56CE" w:rsidP="00F819AD">
      <w:pPr>
        <w:pStyle w:val="paragraph"/>
        <w:spacing w:after="120" w:line="276" w:lineRule="auto"/>
        <w:textAlignment w:val="baseline"/>
        <w:rPr>
          <w:rFonts w:ascii="Arial" w:hAnsi="Arial" w:cs="Arial"/>
          <w:sz w:val="22"/>
          <w:szCs w:val="22"/>
        </w:rPr>
      </w:pPr>
    </w:p>
    <w:tbl>
      <w:tblPr>
        <w:tblStyle w:val="GridTable2-Accent5"/>
        <w:tblW w:w="0" w:type="auto"/>
        <w:jc w:val="center"/>
        <w:tblLook w:val="04A0" w:firstRow="1" w:lastRow="0" w:firstColumn="1" w:lastColumn="0" w:noHBand="0" w:noVBand="1"/>
      </w:tblPr>
      <w:tblGrid>
        <w:gridCol w:w="3317"/>
        <w:gridCol w:w="3443"/>
      </w:tblGrid>
      <w:tr w:rsidR="00F237FA" w:rsidRPr="00B21E02" w14:paraId="6A129553" w14:textId="77777777" w:rsidTr="00F819AD">
        <w:trPr>
          <w:cnfStyle w:val="100000000000" w:firstRow="1" w:lastRow="0" w:firstColumn="0" w:lastColumn="0" w:oddVBand="0" w:evenVBand="0" w:oddHBand="0"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6760" w:type="dxa"/>
            <w:gridSpan w:val="2"/>
            <w:tcBorders>
              <w:top w:val="single" w:sz="12" w:space="0" w:color="auto"/>
              <w:left w:val="single" w:sz="12" w:space="0" w:color="auto"/>
              <w:right w:val="single" w:sz="12" w:space="0" w:color="auto"/>
            </w:tcBorders>
          </w:tcPr>
          <w:p w14:paraId="61B0BE4B" w14:textId="77777777" w:rsidR="008E4946" w:rsidRPr="00B21E02" w:rsidRDefault="008E4946" w:rsidP="00F819AD">
            <w:pPr>
              <w:pStyle w:val="paragraph"/>
              <w:spacing w:after="120" w:line="276" w:lineRule="auto"/>
              <w:jc w:val="center"/>
              <w:textAlignment w:val="baseline"/>
              <w:rPr>
                <w:rFonts w:ascii="Arial" w:hAnsi="Arial" w:cs="Arial"/>
                <w:bCs w:val="0"/>
                <w:sz w:val="22"/>
                <w:szCs w:val="22"/>
              </w:rPr>
            </w:pPr>
          </w:p>
          <w:p w14:paraId="71844C6F" w14:textId="77777777" w:rsidR="00B449C9" w:rsidRPr="00F819AD" w:rsidRDefault="00F237FA" w:rsidP="00F819AD">
            <w:pPr>
              <w:pStyle w:val="paragraph"/>
              <w:spacing w:after="120" w:line="276" w:lineRule="auto"/>
              <w:jc w:val="center"/>
              <w:textAlignment w:val="baseline"/>
              <w:rPr>
                <w:rFonts w:ascii="Arial" w:eastAsia="Arial" w:hAnsi="Arial" w:cs="Arial"/>
                <w:b w:val="0"/>
                <w:sz w:val="22"/>
                <w:szCs w:val="22"/>
              </w:rPr>
            </w:pPr>
            <w:r w:rsidRPr="00F819AD">
              <w:rPr>
                <w:rFonts w:ascii="Arial" w:eastAsia="Arial" w:hAnsi="Arial" w:cs="Arial"/>
                <w:sz w:val="22"/>
                <w:szCs w:val="22"/>
              </w:rPr>
              <w:t xml:space="preserve">Most Common Myths About Closing the </w:t>
            </w:r>
          </w:p>
          <w:p w14:paraId="6B8E9553" w14:textId="5D32661D" w:rsidR="00F237FA" w:rsidRPr="00F819AD" w:rsidRDefault="00F237FA" w:rsidP="00F819AD">
            <w:pPr>
              <w:pStyle w:val="paragraph"/>
              <w:spacing w:after="120" w:line="276" w:lineRule="auto"/>
              <w:jc w:val="center"/>
              <w:textAlignment w:val="baseline"/>
              <w:rPr>
                <w:rFonts w:ascii="Arial" w:eastAsia="Arial" w:hAnsi="Arial" w:cs="Arial"/>
                <w:sz w:val="22"/>
                <w:szCs w:val="22"/>
              </w:rPr>
            </w:pPr>
            <w:r w:rsidRPr="00F819AD">
              <w:rPr>
                <w:rFonts w:ascii="Arial" w:eastAsia="Arial" w:hAnsi="Arial" w:cs="Arial"/>
                <w:sz w:val="22"/>
                <w:szCs w:val="22"/>
              </w:rPr>
              <w:t>Racial Wealth Gap</w:t>
            </w:r>
          </w:p>
          <w:p w14:paraId="414E0B41" w14:textId="731AF0A3" w:rsidR="008E4946" w:rsidRPr="00B21E02" w:rsidRDefault="008E4946" w:rsidP="00F819AD">
            <w:pPr>
              <w:pStyle w:val="paragraph"/>
              <w:spacing w:after="120" w:line="276" w:lineRule="auto"/>
              <w:jc w:val="center"/>
              <w:textAlignment w:val="baseline"/>
              <w:rPr>
                <w:rFonts w:ascii="Arial" w:hAnsi="Arial" w:cs="Arial"/>
                <w:b w:val="0"/>
                <w:sz w:val="22"/>
                <w:szCs w:val="22"/>
              </w:rPr>
            </w:pPr>
          </w:p>
        </w:tc>
      </w:tr>
      <w:tr w:rsidR="009E035D" w:rsidRPr="00B21E02" w14:paraId="2E3818D3" w14:textId="77777777" w:rsidTr="00F819AD">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3317" w:type="dxa"/>
            <w:tcBorders>
              <w:left w:val="single" w:sz="12" w:space="0" w:color="auto"/>
            </w:tcBorders>
          </w:tcPr>
          <w:p w14:paraId="648299D2" w14:textId="43E5DD81" w:rsidR="00C464E8" w:rsidRPr="00F819AD" w:rsidRDefault="003C2A19" w:rsidP="00F819AD">
            <w:pPr>
              <w:spacing w:after="120" w:line="276" w:lineRule="auto"/>
              <w:jc w:val="center"/>
              <w:textAlignment w:val="baseline"/>
              <w:rPr>
                <w:rFonts w:ascii="Arial,Times New Roman" w:eastAsia="Arial,Times New Roman" w:hAnsi="Arial,Times New Roman" w:cs="Arial,Times New Roman"/>
                <w:sz w:val="20"/>
                <w:szCs w:val="20"/>
              </w:rPr>
            </w:pPr>
            <w:r w:rsidRPr="00F819AD">
              <w:rPr>
                <w:rFonts w:ascii="Arial" w:eastAsia="Arial" w:hAnsi="Arial" w:cs="Arial"/>
                <w:color w:val="404040"/>
                <w:position w:val="1"/>
                <w:sz w:val="20"/>
                <w:szCs w:val="20"/>
              </w:rPr>
              <w:t xml:space="preserve">More educational attainment by </w:t>
            </w:r>
            <w:r w:rsidR="00375EA2">
              <w:rPr>
                <w:rFonts w:ascii="Arial" w:eastAsia="Arial" w:hAnsi="Arial" w:cs="Arial"/>
                <w:color w:val="404040"/>
                <w:position w:val="1"/>
                <w:sz w:val="20"/>
                <w:szCs w:val="20"/>
              </w:rPr>
              <w:t>African American</w:t>
            </w:r>
            <w:r w:rsidR="00C464E8" w:rsidRPr="00F819AD">
              <w:rPr>
                <w:rFonts w:ascii="Arial" w:eastAsia="Arial" w:hAnsi="Arial" w:cs="Arial"/>
                <w:color w:val="404040"/>
                <w:position w:val="1"/>
                <w:sz w:val="20"/>
                <w:szCs w:val="20"/>
              </w:rPr>
              <w:t>s will close the gap </w:t>
            </w:r>
            <w:r w:rsidR="00C464E8" w:rsidRPr="00F819AD">
              <w:rPr>
                <w:rFonts w:ascii="Arial" w:eastAsia="Arial" w:hAnsi="Arial" w:cs="Arial"/>
                <w:sz w:val="20"/>
                <w:szCs w:val="20"/>
              </w:rPr>
              <w:t>​</w:t>
            </w:r>
          </w:p>
          <w:p w14:paraId="65F793C0" w14:textId="281870AF" w:rsidR="009E035D" w:rsidRPr="00B21E02" w:rsidRDefault="009E035D" w:rsidP="00F819AD">
            <w:pPr>
              <w:spacing w:after="120" w:line="276" w:lineRule="auto"/>
              <w:ind w:left="108"/>
              <w:jc w:val="center"/>
              <w:textAlignment w:val="baseline"/>
              <w:rPr>
                <w:rFonts w:ascii="Arial" w:hAnsi="Arial" w:cs="Arial"/>
                <w:sz w:val="20"/>
                <w:szCs w:val="20"/>
              </w:rPr>
            </w:pPr>
          </w:p>
        </w:tc>
        <w:tc>
          <w:tcPr>
            <w:tcW w:w="3443" w:type="dxa"/>
            <w:tcBorders>
              <w:right w:val="single" w:sz="12" w:space="0" w:color="auto"/>
            </w:tcBorders>
          </w:tcPr>
          <w:p w14:paraId="54BAF7AD" w14:textId="486647AA" w:rsidR="004C56CE" w:rsidRPr="00F819AD" w:rsidRDefault="004C56CE" w:rsidP="00F819AD">
            <w:pPr>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Times New Roman" w:eastAsia="Arial,Times New Roman" w:hAnsi="Arial,Times New Roman" w:cs="Arial,Times New Roman"/>
                <w:b/>
                <w:sz w:val="20"/>
                <w:szCs w:val="20"/>
              </w:rPr>
            </w:pPr>
            <w:r w:rsidRPr="00F819AD">
              <w:rPr>
                <w:rFonts w:ascii="Arial" w:eastAsia="Arial" w:hAnsi="Arial" w:cs="Arial"/>
                <w:b/>
                <w:color w:val="404040"/>
                <w:position w:val="1"/>
                <w:sz w:val="20"/>
                <w:szCs w:val="20"/>
              </w:rPr>
              <w:t xml:space="preserve">Homeownership </w:t>
            </w:r>
            <w:r w:rsidR="00C709B8" w:rsidRPr="00F819AD">
              <w:rPr>
                <w:rFonts w:ascii="Arial" w:eastAsia="Arial" w:hAnsi="Arial" w:cs="Arial"/>
                <w:b/>
                <w:color w:val="404040"/>
                <w:position w:val="1"/>
                <w:sz w:val="20"/>
                <w:szCs w:val="20"/>
              </w:rPr>
              <w:t xml:space="preserve">disparities </w:t>
            </w:r>
            <w:r w:rsidR="00DF056A" w:rsidRPr="00F819AD">
              <w:rPr>
                <w:rFonts w:ascii="Arial" w:eastAsia="Arial" w:hAnsi="Arial" w:cs="Arial"/>
                <w:b/>
                <w:color w:val="404040"/>
                <w:position w:val="1"/>
                <w:sz w:val="20"/>
                <w:szCs w:val="20"/>
              </w:rPr>
              <w:t xml:space="preserve">alone </w:t>
            </w:r>
            <w:r w:rsidR="00C709B8" w:rsidRPr="00F819AD">
              <w:rPr>
                <w:rFonts w:ascii="Arial" w:eastAsia="Arial" w:hAnsi="Arial" w:cs="Arial"/>
                <w:b/>
                <w:color w:val="404040"/>
                <w:position w:val="1"/>
                <w:sz w:val="20"/>
                <w:szCs w:val="20"/>
              </w:rPr>
              <w:t xml:space="preserve">drive </w:t>
            </w:r>
            <w:r w:rsidRPr="00F819AD">
              <w:rPr>
                <w:rFonts w:ascii="Arial" w:eastAsia="Arial" w:hAnsi="Arial" w:cs="Arial"/>
                <w:b/>
                <w:color w:val="404040"/>
                <w:position w:val="1"/>
                <w:sz w:val="20"/>
                <w:szCs w:val="20"/>
              </w:rPr>
              <w:t>racial wealth gap </w:t>
            </w:r>
            <w:r w:rsidRPr="00F819AD">
              <w:rPr>
                <w:rFonts w:ascii="Arial" w:eastAsia="Arial" w:hAnsi="Arial" w:cs="Arial"/>
                <w:b/>
                <w:sz w:val="20"/>
                <w:szCs w:val="20"/>
              </w:rPr>
              <w:t>​</w:t>
            </w:r>
          </w:p>
          <w:p w14:paraId="65EC1D97" w14:textId="77777777" w:rsidR="009E035D" w:rsidRPr="00B21E02" w:rsidRDefault="009E035D" w:rsidP="00F819AD">
            <w:pPr>
              <w:pStyle w:val="paragraph"/>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E035D" w:rsidRPr="00B21E02" w14:paraId="05EEB743" w14:textId="77777777" w:rsidTr="00F819AD">
        <w:trPr>
          <w:trHeight w:val="563"/>
          <w:jc w:val="center"/>
        </w:trPr>
        <w:tc>
          <w:tcPr>
            <w:cnfStyle w:val="001000000000" w:firstRow="0" w:lastRow="0" w:firstColumn="1" w:lastColumn="0" w:oddVBand="0" w:evenVBand="0" w:oddHBand="0" w:evenHBand="0" w:firstRowFirstColumn="0" w:firstRowLastColumn="0" w:lastRowFirstColumn="0" w:lastRowLastColumn="0"/>
            <w:tcW w:w="3317" w:type="dxa"/>
            <w:tcBorders>
              <w:left w:val="single" w:sz="12" w:space="0" w:color="auto"/>
            </w:tcBorders>
          </w:tcPr>
          <w:p w14:paraId="391D30DE" w14:textId="06B66B48" w:rsidR="009E035D" w:rsidRPr="00F819AD" w:rsidRDefault="004C56CE" w:rsidP="00F819AD">
            <w:pPr>
              <w:pStyle w:val="paragraph"/>
              <w:spacing w:after="120" w:line="276" w:lineRule="auto"/>
              <w:jc w:val="center"/>
              <w:textAlignment w:val="baseline"/>
              <w:rPr>
                <w:rFonts w:ascii="Arial" w:eastAsia="Arial" w:hAnsi="Arial" w:cs="Arial"/>
                <w:sz w:val="20"/>
                <w:szCs w:val="20"/>
              </w:rPr>
            </w:pPr>
            <w:r w:rsidRPr="00F819AD">
              <w:rPr>
                <w:rFonts w:ascii="Arial" w:eastAsia="Arial" w:hAnsi="Arial" w:cs="Arial"/>
                <w:color w:val="404040"/>
                <w:position w:val="1"/>
                <w:sz w:val="20"/>
                <w:szCs w:val="20"/>
              </w:rPr>
              <w:t>Buying and banking black will close the gap</w:t>
            </w:r>
          </w:p>
        </w:tc>
        <w:tc>
          <w:tcPr>
            <w:tcW w:w="3443" w:type="dxa"/>
            <w:tcBorders>
              <w:right w:val="single" w:sz="12" w:space="0" w:color="auto"/>
            </w:tcBorders>
          </w:tcPr>
          <w:p w14:paraId="466D9BBE" w14:textId="0C75F669" w:rsidR="004C56CE" w:rsidRPr="00F819AD" w:rsidRDefault="004C56CE" w:rsidP="00F819AD">
            <w:pPr>
              <w:spacing w:after="12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Times New Roman" w:eastAsia="Arial,Times New Roman" w:hAnsi="Arial,Times New Roman" w:cs="Arial,Times New Roman"/>
                <w:b/>
                <w:sz w:val="20"/>
                <w:szCs w:val="20"/>
              </w:rPr>
            </w:pPr>
            <w:r w:rsidRPr="00F819AD">
              <w:rPr>
                <w:rFonts w:ascii="Arial" w:eastAsia="Arial" w:hAnsi="Arial" w:cs="Arial"/>
                <w:b/>
                <w:color w:val="404040"/>
                <w:position w:val="1"/>
                <w:sz w:val="20"/>
                <w:szCs w:val="20"/>
              </w:rPr>
              <w:t>Gre</w:t>
            </w:r>
            <w:r w:rsidR="003C2A19" w:rsidRPr="00F819AD">
              <w:rPr>
                <w:rFonts w:ascii="Arial" w:eastAsia="Arial" w:hAnsi="Arial" w:cs="Arial"/>
                <w:b/>
                <w:color w:val="404040"/>
                <w:position w:val="1"/>
                <w:sz w:val="20"/>
                <w:szCs w:val="20"/>
              </w:rPr>
              <w:t xml:space="preserve">ater financial literacy in the </w:t>
            </w:r>
            <w:r w:rsidR="00375EA2">
              <w:rPr>
                <w:rFonts w:ascii="Arial" w:eastAsia="Arial" w:hAnsi="Arial" w:cs="Arial"/>
                <w:b/>
                <w:color w:val="404040"/>
                <w:position w:val="1"/>
                <w:sz w:val="20"/>
                <w:szCs w:val="20"/>
              </w:rPr>
              <w:t>African American</w:t>
            </w:r>
            <w:r w:rsidRPr="00F819AD">
              <w:rPr>
                <w:rFonts w:ascii="Arial" w:eastAsia="Arial" w:hAnsi="Arial" w:cs="Arial"/>
                <w:b/>
                <w:color w:val="404040"/>
                <w:position w:val="1"/>
                <w:sz w:val="20"/>
                <w:szCs w:val="20"/>
              </w:rPr>
              <w:t xml:space="preserve"> community will close the gap</w:t>
            </w:r>
            <w:r w:rsidRPr="00F819AD">
              <w:rPr>
                <w:rFonts w:ascii="Arial" w:eastAsia="Arial" w:hAnsi="Arial" w:cs="Arial"/>
                <w:b/>
                <w:sz w:val="20"/>
                <w:szCs w:val="20"/>
              </w:rPr>
              <w:t>​</w:t>
            </w:r>
          </w:p>
          <w:p w14:paraId="2FE882CD" w14:textId="77777777" w:rsidR="009E035D" w:rsidRPr="00B21E02" w:rsidRDefault="009E035D" w:rsidP="00F819AD">
            <w:pPr>
              <w:pStyle w:val="paragraph"/>
              <w:spacing w:after="12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9E035D" w:rsidRPr="00B21E02" w14:paraId="0AA1B030" w14:textId="77777777" w:rsidTr="00F819AD">
        <w:trPr>
          <w:cnfStyle w:val="000000100000" w:firstRow="0" w:lastRow="0" w:firstColumn="0" w:lastColumn="0" w:oddVBand="0" w:evenVBand="0" w:oddHBand="1" w:evenHBand="0" w:firstRowFirstColumn="0" w:firstRowLastColumn="0" w:lastRowFirstColumn="0" w:lastRowLastColumn="0"/>
          <w:trHeight w:val="62"/>
          <w:jc w:val="center"/>
        </w:trPr>
        <w:tc>
          <w:tcPr>
            <w:cnfStyle w:val="001000000000" w:firstRow="0" w:lastRow="0" w:firstColumn="1" w:lastColumn="0" w:oddVBand="0" w:evenVBand="0" w:oddHBand="0" w:evenHBand="0" w:firstRowFirstColumn="0" w:firstRowLastColumn="0" w:lastRowFirstColumn="0" w:lastRowLastColumn="0"/>
            <w:tcW w:w="3317" w:type="dxa"/>
            <w:tcBorders>
              <w:left w:val="single" w:sz="12" w:space="0" w:color="auto"/>
            </w:tcBorders>
          </w:tcPr>
          <w:p w14:paraId="31F92F13" w14:textId="16DB96AD" w:rsidR="009E035D" w:rsidRPr="00F819AD" w:rsidRDefault="00375EA2" w:rsidP="00F819AD">
            <w:pPr>
              <w:pStyle w:val="paragraph"/>
              <w:spacing w:after="120" w:line="276" w:lineRule="auto"/>
              <w:jc w:val="center"/>
              <w:textAlignment w:val="baseline"/>
              <w:rPr>
                <w:rFonts w:ascii="Arial" w:eastAsia="Arial" w:hAnsi="Arial" w:cs="Arial"/>
                <w:sz w:val="20"/>
                <w:szCs w:val="20"/>
              </w:rPr>
            </w:pPr>
            <w:r>
              <w:rPr>
                <w:rFonts w:ascii="Arial" w:eastAsia="Arial" w:hAnsi="Arial" w:cs="Arial"/>
                <w:color w:val="404040"/>
                <w:position w:val="1"/>
                <w:sz w:val="20"/>
                <w:szCs w:val="20"/>
              </w:rPr>
              <w:t>African American</w:t>
            </w:r>
            <w:r w:rsidR="004C56CE" w:rsidRPr="00F819AD">
              <w:rPr>
                <w:rFonts w:ascii="Arial" w:eastAsia="Arial" w:hAnsi="Arial" w:cs="Arial"/>
                <w:color w:val="404040"/>
                <w:position w:val="1"/>
                <w:sz w:val="20"/>
                <w:szCs w:val="20"/>
              </w:rPr>
              <w:t xml:space="preserve"> families saving more will close the gap</w:t>
            </w:r>
          </w:p>
        </w:tc>
        <w:tc>
          <w:tcPr>
            <w:tcW w:w="3443" w:type="dxa"/>
            <w:tcBorders>
              <w:right w:val="single" w:sz="12" w:space="0" w:color="auto"/>
            </w:tcBorders>
          </w:tcPr>
          <w:p w14:paraId="6F518F2A" w14:textId="646F833D" w:rsidR="004C56CE" w:rsidRPr="00F819AD" w:rsidRDefault="003C2A19" w:rsidP="00F819AD">
            <w:pPr>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Times New Roman" w:eastAsia="Arial,Times New Roman" w:hAnsi="Arial,Times New Roman" w:cs="Arial,Times New Roman"/>
                <w:b/>
                <w:sz w:val="20"/>
                <w:szCs w:val="20"/>
              </w:rPr>
            </w:pPr>
            <w:r w:rsidRPr="00F819AD">
              <w:rPr>
                <w:rFonts w:ascii="Arial" w:eastAsia="Arial" w:hAnsi="Arial" w:cs="Arial"/>
                <w:b/>
                <w:color w:val="404040"/>
                <w:position w:val="1"/>
                <w:sz w:val="20"/>
                <w:szCs w:val="20"/>
              </w:rPr>
              <w:t xml:space="preserve">More entrepreneurship in the </w:t>
            </w:r>
            <w:r w:rsidR="00A322C0">
              <w:rPr>
                <w:rFonts w:ascii="Arial" w:eastAsia="Arial" w:hAnsi="Arial" w:cs="Arial"/>
                <w:b/>
                <w:color w:val="404040"/>
                <w:position w:val="1"/>
                <w:sz w:val="20"/>
                <w:szCs w:val="20"/>
              </w:rPr>
              <w:t>b</w:t>
            </w:r>
            <w:r w:rsidRPr="00F819AD">
              <w:rPr>
                <w:rFonts w:ascii="Arial" w:eastAsia="Arial" w:hAnsi="Arial" w:cs="Arial"/>
                <w:b/>
                <w:color w:val="404040"/>
                <w:position w:val="1"/>
                <w:sz w:val="20"/>
                <w:szCs w:val="20"/>
              </w:rPr>
              <w:t>lack community</w:t>
            </w:r>
            <w:r w:rsidR="004C56CE" w:rsidRPr="00F819AD">
              <w:rPr>
                <w:rFonts w:ascii="Arial" w:eastAsia="Arial" w:hAnsi="Arial" w:cs="Arial"/>
                <w:b/>
                <w:color w:val="404040"/>
                <w:position w:val="1"/>
                <w:sz w:val="20"/>
                <w:szCs w:val="20"/>
              </w:rPr>
              <w:t xml:space="preserve"> will close the gap </w:t>
            </w:r>
            <w:r w:rsidR="004C56CE" w:rsidRPr="00F819AD">
              <w:rPr>
                <w:rFonts w:ascii="Arial" w:eastAsia="Arial" w:hAnsi="Arial" w:cs="Arial"/>
                <w:b/>
                <w:sz w:val="20"/>
                <w:szCs w:val="20"/>
              </w:rPr>
              <w:t>​</w:t>
            </w:r>
          </w:p>
          <w:p w14:paraId="3F8FCC69" w14:textId="77777777" w:rsidR="009E035D" w:rsidRPr="00B21E02" w:rsidRDefault="009E035D" w:rsidP="00F819AD">
            <w:pPr>
              <w:pStyle w:val="paragraph"/>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E035D" w:rsidRPr="00B21E02" w14:paraId="11EF10BC" w14:textId="77777777" w:rsidTr="00F819AD">
        <w:trPr>
          <w:trHeight w:val="563"/>
          <w:jc w:val="center"/>
        </w:trPr>
        <w:tc>
          <w:tcPr>
            <w:cnfStyle w:val="001000000000" w:firstRow="0" w:lastRow="0" w:firstColumn="1" w:lastColumn="0" w:oddVBand="0" w:evenVBand="0" w:oddHBand="0" w:evenHBand="0" w:firstRowFirstColumn="0" w:firstRowLastColumn="0" w:lastRowFirstColumn="0" w:lastRowLastColumn="0"/>
            <w:tcW w:w="3317" w:type="dxa"/>
            <w:tcBorders>
              <w:left w:val="single" w:sz="12" w:space="0" w:color="auto"/>
            </w:tcBorders>
          </w:tcPr>
          <w:p w14:paraId="49D2F393" w14:textId="6FA0796A" w:rsidR="004C56CE" w:rsidRPr="00F819AD" w:rsidRDefault="004C56CE" w:rsidP="00F819AD">
            <w:pPr>
              <w:spacing w:after="120" w:line="276" w:lineRule="auto"/>
              <w:jc w:val="center"/>
              <w:textAlignment w:val="baseline"/>
              <w:rPr>
                <w:rFonts w:ascii="Arial,Times New Roman" w:eastAsia="Arial,Times New Roman" w:hAnsi="Arial,Times New Roman" w:cs="Arial,Times New Roman"/>
                <w:sz w:val="20"/>
                <w:szCs w:val="20"/>
              </w:rPr>
            </w:pPr>
            <w:r w:rsidRPr="00F819AD">
              <w:rPr>
                <w:rFonts w:ascii="Arial" w:eastAsia="Arial" w:hAnsi="Arial" w:cs="Arial"/>
                <w:color w:val="404040"/>
                <w:position w:val="1"/>
                <w:sz w:val="20"/>
                <w:szCs w:val="20"/>
              </w:rPr>
              <w:t>Emulating</w:t>
            </w:r>
            <w:r w:rsidR="00C709B8" w:rsidRPr="00F819AD">
              <w:rPr>
                <w:rFonts w:ascii="Arial" w:eastAsia="Arial" w:hAnsi="Arial" w:cs="Arial"/>
                <w:color w:val="404040"/>
                <w:position w:val="1"/>
                <w:sz w:val="20"/>
                <w:szCs w:val="20"/>
              </w:rPr>
              <w:t xml:space="preserve"> other</w:t>
            </w:r>
            <w:r w:rsidRPr="00F819AD">
              <w:rPr>
                <w:rFonts w:ascii="Arial" w:eastAsia="Arial" w:hAnsi="Arial" w:cs="Arial"/>
                <w:color w:val="404040"/>
                <w:position w:val="1"/>
                <w:sz w:val="20"/>
                <w:szCs w:val="20"/>
              </w:rPr>
              <w:t xml:space="preserve"> “model minorities” will close the gap </w:t>
            </w:r>
            <w:r w:rsidRPr="00F819AD">
              <w:rPr>
                <w:rFonts w:ascii="Arial" w:eastAsia="Arial" w:hAnsi="Arial" w:cs="Arial"/>
                <w:sz w:val="20"/>
                <w:szCs w:val="20"/>
              </w:rPr>
              <w:t>​</w:t>
            </w:r>
          </w:p>
          <w:p w14:paraId="77F0E552" w14:textId="77777777" w:rsidR="009E035D" w:rsidRPr="00B21E02" w:rsidRDefault="009E035D" w:rsidP="00F819AD">
            <w:pPr>
              <w:pStyle w:val="paragraph"/>
              <w:spacing w:after="120" w:line="276" w:lineRule="auto"/>
              <w:jc w:val="center"/>
              <w:textAlignment w:val="baseline"/>
              <w:rPr>
                <w:rFonts w:ascii="Arial" w:hAnsi="Arial" w:cs="Arial"/>
                <w:sz w:val="20"/>
                <w:szCs w:val="20"/>
              </w:rPr>
            </w:pPr>
          </w:p>
        </w:tc>
        <w:tc>
          <w:tcPr>
            <w:tcW w:w="3443" w:type="dxa"/>
            <w:tcBorders>
              <w:right w:val="single" w:sz="12" w:space="0" w:color="auto"/>
            </w:tcBorders>
          </w:tcPr>
          <w:p w14:paraId="6F9A6A5B" w14:textId="3474DB8B" w:rsidR="009E035D" w:rsidRPr="00F819AD" w:rsidRDefault="004C56CE" w:rsidP="00F819AD">
            <w:pPr>
              <w:pStyle w:val="paragraph"/>
              <w:spacing w:after="120"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819AD">
              <w:rPr>
                <w:rFonts w:ascii="Arial" w:eastAsia="Arial" w:hAnsi="Arial" w:cs="Arial"/>
                <w:b/>
                <w:color w:val="404040"/>
                <w:position w:val="1"/>
                <w:sz w:val="20"/>
                <w:szCs w:val="20"/>
              </w:rPr>
              <w:t>Improved “soft skills” and “personal responsibility” will close racial wealth gap</w:t>
            </w:r>
          </w:p>
        </w:tc>
      </w:tr>
      <w:tr w:rsidR="009E035D" w:rsidRPr="00B21E02" w14:paraId="45C6E03E" w14:textId="77777777" w:rsidTr="00F819AD">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3317" w:type="dxa"/>
            <w:tcBorders>
              <w:left w:val="single" w:sz="12" w:space="0" w:color="auto"/>
              <w:bottom w:val="single" w:sz="12" w:space="0" w:color="auto"/>
            </w:tcBorders>
          </w:tcPr>
          <w:p w14:paraId="1B61B086" w14:textId="312743DF" w:rsidR="009E035D" w:rsidRPr="00F819AD" w:rsidRDefault="003C2A19" w:rsidP="00F819AD">
            <w:pPr>
              <w:pStyle w:val="paragraph"/>
              <w:spacing w:after="120" w:line="276" w:lineRule="auto"/>
              <w:jc w:val="center"/>
              <w:textAlignment w:val="baseline"/>
              <w:rPr>
                <w:rFonts w:ascii="Arial" w:eastAsia="Arial" w:hAnsi="Arial" w:cs="Arial"/>
                <w:sz w:val="20"/>
                <w:szCs w:val="20"/>
              </w:rPr>
            </w:pPr>
            <w:r w:rsidRPr="00F819AD">
              <w:rPr>
                <w:rFonts w:ascii="Arial" w:eastAsia="Arial" w:hAnsi="Arial" w:cs="Arial"/>
                <w:color w:val="404040"/>
                <w:position w:val="1"/>
                <w:sz w:val="20"/>
                <w:szCs w:val="20"/>
              </w:rPr>
              <w:t xml:space="preserve">The rise of </w:t>
            </w:r>
            <w:r w:rsidR="00375EA2">
              <w:rPr>
                <w:rFonts w:ascii="Arial" w:eastAsia="Arial" w:hAnsi="Arial" w:cs="Arial"/>
                <w:color w:val="404040"/>
                <w:position w:val="1"/>
                <w:sz w:val="20"/>
                <w:szCs w:val="20"/>
              </w:rPr>
              <w:t>African American</w:t>
            </w:r>
            <w:r w:rsidR="004C56CE" w:rsidRPr="00F819AD">
              <w:rPr>
                <w:rFonts w:ascii="Arial" w:eastAsia="Arial" w:hAnsi="Arial" w:cs="Arial"/>
                <w:color w:val="404040"/>
                <w:position w:val="1"/>
                <w:sz w:val="20"/>
                <w:szCs w:val="20"/>
              </w:rPr>
              <w:t xml:space="preserve"> celebrities proves the racial wealth gap is closing</w:t>
            </w:r>
          </w:p>
        </w:tc>
        <w:tc>
          <w:tcPr>
            <w:tcW w:w="3443" w:type="dxa"/>
            <w:tcBorders>
              <w:bottom w:val="single" w:sz="12" w:space="0" w:color="auto"/>
              <w:right w:val="single" w:sz="12" w:space="0" w:color="auto"/>
            </w:tcBorders>
          </w:tcPr>
          <w:p w14:paraId="50F615A7" w14:textId="6B16CF17" w:rsidR="004C56CE" w:rsidRPr="00F819AD" w:rsidRDefault="00375EA2" w:rsidP="00F819AD">
            <w:pPr>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Times New Roman" w:eastAsia="Arial,Times New Roman" w:hAnsi="Arial,Times New Roman" w:cs="Arial,Times New Roman"/>
                <w:b/>
                <w:sz w:val="20"/>
                <w:szCs w:val="20"/>
              </w:rPr>
            </w:pPr>
            <w:r>
              <w:rPr>
                <w:rFonts w:ascii="Arial" w:eastAsia="Arial" w:hAnsi="Arial" w:cs="Arial"/>
                <w:b/>
                <w:color w:val="404040"/>
                <w:position w:val="1"/>
                <w:sz w:val="20"/>
                <w:szCs w:val="20"/>
              </w:rPr>
              <w:t>African American</w:t>
            </w:r>
            <w:r w:rsidR="004C56CE" w:rsidRPr="00F819AD">
              <w:rPr>
                <w:rFonts w:ascii="Arial" w:eastAsia="Arial" w:hAnsi="Arial" w:cs="Arial"/>
                <w:b/>
                <w:color w:val="404040"/>
                <w:position w:val="1"/>
                <w:sz w:val="20"/>
                <w:szCs w:val="20"/>
              </w:rPr>
              <w:t xml:space="preserve"> family disorganization is a cause of the racial wealth gap</w:t>
            </w:r>
          </w:p>
          <w:p w14:paraId="0DBDCF50" w14:textId="6057BCC4" w:rsidR="009E035D" w:rsidRPr="00B21E02" w:rsidRDefault="009E035D" w:rsidP="00F819AD">
            <w:pPr>
              <w:pStyle w:val="paragraph"/>
              <w:keepNext/>
              <w:spacing w:after="12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14:paraId="048DC96F" w14:textId="3237F448" w:rsidR="000E7E94" w:rsidRPr="00F819AD" w:rsidRDefault="000E7E94" w:rsidP="00F819AD">
      <w:pPr>
        <w:pStyle w:val="Caption"/>
        <w:spacing w:after="120"/>
        <w:jc w:val="center"/>
        <w:rPr>
          <w:rFonts w:ascii="Arial" w:eastAsia="Arial" w:hAnsi="Arial" w:cs="Arial"/>
          <w:sz w:val="22"/>
          <w:szCs w:val="22"/>
        </w:rPr>
      </w:pPr>
      <w:r w:rsidRPr="00F819AD">
        <w:rPr>
          <w:rFonts w:ascii="Arial" w:eastAsia="Arial" w:hAnsi="Arial" w:cs="Arial"/>
          <w:sz w:val="22"/>
          <w:szCs w:val="22"/>
        </w:rPr>
        <w:t xml:space="preserve">Figure 17 </w:t>
      </w:r>
      <w:r w:rsidRPr="00F819AD">
        <w:rPr>
          <w:rStyle w:val="FootnoteReference"/>
          <w:rFonts w:ascii="Arial" w:eastAsia="Arial" w:hAnsi="Arial" w:cs="Arial"/>
          <w:sz w:val="22"/>
          <w:szCs w:val="22"/>
        </w:rPr>
        <w:footnoteReference w:id="59"/>
      </w:r>
    </w:p>
    <w:p w14:paraId="268D393B" w14:textId="77777777" w:rsidR="006A4F1B" w:rsidRDefault="006A4F1B" w:rsidP="00F819AD">
      <w:pPr>
        <w:pStyle w:val="paragraph"/>
        <w:spacing w:after="120" w:line="276" w:lineRule="auto"/>
        <w:textAlignment w:val="baseline"/>
        <w:rPr>
          <w:rFonts w:ascii="Arial" w:hAnsi="Arial" w:cs="Arial"/>
          <w:sz w:val="22"/>
          <w:szCs w:val="22"/>
        </w:rPr>
      </w:pPr>
    </w:p>
    <w:p w14:paraId="53234069" w14:textId="7BC84950" w:rsidR="000549FF" w:rsidRPr="00F819AD" w:rsidRDefault="009432D2" w:rsidP="00F819AD">
      <w:pPr>
        <w:pStyle w:val="paragraph"/>
        <w:spacing w:after="120" w:line="276" w:lineRule="auto"/>
        <w:textAlignment w:val="baseline"/>
        <w:rPr>
          <w:rFonts w:ascii="Arial" w:eastAsia="Arial" w:hAnsi="Arial" w:cs="Arial"/>
          <w:sz w:val="22"/>
          <w:szCs w:val="22"/>
        </w:rPr>
      </w:pPr>
      <w:r w:rsidRPr="00F819AD">
        <w:rPr>
          <w:rFonts w:ascii="Arial" w:eastAsia="Arial" w:hAnsi="Arial" w:cs="Arial"/>
          <w:sz w:val="22"/>
          <w:szCs w:val="22"/>
        </w:rPr>
        <w:t xml:space="preserve">While </w:t>
      </w:r>
      <w:r w:rsidR="003D1F4F" w:rsidRPr="00F819AD">
        <w:rPr>
          <w:rFonts w:ascii="Arial" w:eastAsia="Arial" w:hAnsi="Arial" w:cs="Arial"/>
          <w:sz w:val="22"/>
          <w:szCs w:val="22"/>
        </w:rPr>
        <w:t xml:space="preserve">many of </w:t>
      </w:r>
      <w:r w:rsidRPr="00F819AD">
        <w:rPr>
          <w:rFonts w:ascii="Arial" w:eastAsia="Arial" w:hAnsi="Arial" w:cs="Arial"/>
          <w:sz w:val="22"/>
          <w:szCs w:val="22"/>
        </w:rPr>
        <w:t>these interventions</w:t>
      </w:r>
      <w:r w:rsidR="00A15E2E" w:rsidRPr="00F819AD">
        <w:rPr>
          <w:rFonts w:ascii="Arial" w:eastAsia="Arial" w:hAnsi="Arial" w:cs="Arial"/>
          <w:sz w:val="22"/>
          <w:szCs w:val="22"/>
        </w:rPr>
        <w:t xml:space="preserve"> are desirable paths to </w:t>
      </w:r>
      <w:r w:rsidR="002B487F" w:rsidRPr="00F819AD">
        <w:rPr>
          <w:rFonts w:ascii="Arial" w:eastAsia="Arial" w:hAnsi="Arial" w:cs="Arial"/>
          <w:sz w:val="22"/>
          <w:szCs w:val="22"/>
        </w:rPr>
        <w:t xml:space="preserve">achieving </w:t>
      </w:r>
      <w:r w:rsidRPr="00F819AD">
        <w:rPr>
          <w:rFonts w:ascii="Arial" w:eastAsia="Arial" w:hAnsi="Arial" w:cs="Arial"/>
          <w:sz w:val="22"/>
          <w:szCs w:val="22"/>
        </w:rPr>
        <w:t>economic mobility</w:t>
      </w:r>
      <w:r w:rsidR="00AB02EE" w:rsidRPr="00F819AD">
        <w:rPr>
          <w:rFonts w:ascii="Arial" w:eastAsia="Arial" w:hAnsi="Arial" w:cs="Arial"/>
          <w:sz w:val="22"/>
          <w:szCs w:val="22"/>
        </w:rPr>
        <w:t xml:space="preserve"> on</w:t>
      </w:r>
      <w:r w:rsidRPr="00F819AD">
        <w:rPr>
          <w:rFonts w:ascii="Arial" w:eastAsia="Arial" w:hAnsi="Arial" w:cs="Arial"/>
          <w:sz w:val="22"/>
          <w:szCs w:val="22"/>
        </w:rPr>
        <w:t xml:space="preserve"> an individual and small scale, t</w:t>
      </w:r>
      <w:r w:rsidR="00AB02EE" w:rsidRPr="00F819AD">
        <w:rPr>
          <w:rFonts w:ascii="Arial" w:eastAsia="Arial" w:hAnsi="Arial" w:cs="Arial"/>
          <w:sz w:val="22"/>
          <w:szCs w:val="22"/>
        </w:rPr>
        <w:t>hey are flawed because th</w:t>
      </w:r>
      <w:r w:rsidR="00605889" w:rsidRPr="00F819AD">
        <w:rPr>
          <w:rFonts w:ascii="Arial" w:eastAsia="Arial" w:hAnsi="Arial" w:cs="Arial"/>
          <w:sz w:val="22"/>
          <w:szCs w:val="22"/>
        </w:rPr>
        <w:t xml:space="preserve">ey put the onus </w:t>
      </w:r>
      <w:r w:rsidR="00A322C0">
        <w:rPr>
          <w:rFonts w:ascii="Arial" w:eastAsia="Arial" w:hAnsi="Arial" w:cs="Arial"/>
          <w:sz w:val="22"/>
          <w:szCs w:val="22"/>
        </w:rPr>
        <w:t>to</w:t>
      </w:r>
      <w:r w:rsidR="00A322C0" w:rsidRPr="00F819AD">
        <w:rPr>
          <w:rFonts w:ascii="Arial" w:eastAsia="Arial" w:hAnsi="Arial" w:cs="Arial"/>
          <w:sz w:val="22"/>
          <w:szCs w:val="22"/>
        </w:rPr>
        <w:t xml:space="preserve"> </w:t>
      </w:r>
      <w:r w:rsidR="00A322C0">
        <w:rPr>
          <w:rFonts w:ascii="Arial" w:eastAsia="Arial" w:hAnsi="Arial" w:cs="Arial"/>
          <w:sz w:val="22"/>
          <w:szCs w:val="22"/>
        </w:rPr>
        <w:t>remedy</w:t>
      </w:r>
      <w:r w:rsidR="00A322C0" w:rsidRPr="00F819AD">
        <w:rPr>
          <w:rFonts w:ascii="Arial" w:eastAsia="Arial" w:hAnsi="Arial" w:cs="Arial"/>
          <w:sz w:val="22"/>
          <w:szCs w:val="22"/>
        </w:rPr>
        <w:t xml:space="preserve"> </w:t>
      </w:r>
      <w:r w:rsidR="00605889" w:rsidRPr="00F819AD">
        <w:rPr>
          <w:rFonts w:ascii="Arial" w:eastAsia="Arial" w:hAnsi="Arial" w:cs="Arial"/>
          <w:sz w:val="22"/>
          <w:szCs w:val="22"/>
        </w:rPr>
        <w:t xml:space="preserve">racial </w:t>
      </w:r>
      <w:r w:rsidR="002B487F" w:rsidRPr="00F819AD">
        <w:rPr>
          <w:rFonts w:ascii="Arial" w:eastAsia="Arial" w:hAnsi="Arial" w:cs="Arial"/>
          <w:sz w:val="22"/>
          <w:szCs w:val="22"/>
        </w:rPr>
        <w:t xml:space="preserve">wealth </w:t>
      </w:r>
      <w:r w:rsidR="00605889" w:rsidRPr="00F819AD">
        <w:rPr>
          <w:rFonts w:ascii="Arial" w:eastAsia="Arial" w:hAnsi="Arial" w:cs="Arial"/>
          <w:sz w:val="22"/>
          <w:szCs w:val="22"/>
        </w:rPr>
        <w:t xml:space="preserve">inequality on people of color </w:t>
      </w:r>
      <w:r w:rsidR="00A322C0">
        <w:rPr>
          <w:rFonts w:ascii="Arial" w:eastAsia="Arial" w:hAnsi="Arial" w:cs="Arial"/>
          <w:sz w:val="22"/>
          <w:szCs w:val="22"/>
        </w:rPr>
        <w:t>by changing their behavior</w:t>
      </w:r>
      <w:r w:rsidR="002B487F" w:rsidRPr="00F819AD">
        <w:rPr>
          <w:rFonts w:ascii="Arial" w:eastAsia="Arial" w:hAnsi="Arial" w:cs="Arial"/>
          <w:sz w:val="22"/>
          <w:szCs w:val="22"/>
        </w:rPr>
        <w:t>, rather t</w:t>
      </w:r>
      <w:r w:rsidR="00287AF8" w:rsidRPr="00F819AD">
        <w:rPr>
          <w:rFonts w:ascii="Arial" w:eastAsia="Arial" w:hAnsi="Arial" w:cs="Arial"/>
          <w:sz w:val="22"/>
          <w:szCs w:val="22"/>
        </w:rPr>
        <w:t>han focusing on the structural barrie</w:t>
      </w:r>
      <w:r w:rsidR="00FE1FE8" w:rsidRPr="00F819AD">
        <w:rPr>
          <w:rFonts w:ascii="Arial" w:eastAsia="Arial" w:hAnsi="Arial" w:cs="Arial"/>
          <w:sz w:val="22"/>
          <w:szCs w:val="22"/>
        </w:rPr>
        <w:t>rs that play a much more significant role in perpetuating the racial wealth divide</w:t>
      </w:r>
      <w:r w:rsidR="00CA050F" w:rsidRPr="00F819AD">
        <w:rPr>
          <w:rFonts w:ascii="Arial" w:eastAsia="Arial" w:hAnsi="Arial" w:cs="Arial"/>
          <w:sz w:val="22"/>
          <w:szCs w:val="22"/>
        </w:rPr>
        <w:t>.</w:t>
      </w:r>
      <w:r w:rsidR="00CC50BC" w:rsidRPr="00F819AD">
        <w:rPr>
          <w:rFonts w:ascii="Arial" w:eastAsia="Arial" w:hAnsi="Arial" w:cs="Arial"/>
          <w:sz w:val="22"/>
          <w:szCs w:val="22"/>
        </w:rPr>
        <w:t xml:space="preserve"> </w:t>
      </w:r>
      <w:r w:rsidR="00C55838" w:rsidRPr="00F819AD">
        <w:rPr>
          <w:rFonts w:ascii="Arial" w:eastAsia="Arial" w:hAnsi="Arial" w:cs="Arial"/>
          <w:sz w:val="22"/>
          <w:szCs w:val="22"/>
        </w:rPr>
        <w:t xml:space="preserve">As researchers </w:t>
      </w:r>
      <w:r w:rsidR="00CC7542" w:rsidRPr="00F819AD">
        <w:rPr>
          <w:rFonts w:ascii="Arial" w:eastAsia="Arial" w:hAnsi="Arial" w:cs="Arial"/>
          <w:sz w:val="22"/>
          <w:szCs w:val="22"/>
        </w:rPr>
        <w:t>from the Cook Center for Social Equity</w:t>
      </w:r>
      <w:r w:rsidR="000D4F78">
        <w:rPr>
          <w:rFonts w:ascii="Arial" w:eastAsia="Arial" w:hAnsi="Arial" w:cs="Arial"/>
          <w:sz w:val="22"/>
          <w:szCs w:val="22"/>
        </w:rPr>
        <w:t xml:space="preserve"> point out, </w:t>
      </w:r>
      <w:r w:rsidR="000D4F78" w:rsidRPr="00F07FCD">
        <w:rPr>
          <w:rFonts w:ascii="Arial" w:eastAsia="Arial" w:hAnsi="Arial" w:cs="Arial"/>
          <w:bCs/>
          <w:iCs/>
          <w:sz w:val="22"/>
          <w:szCs w:val="22"/>
        </w:rPr>
        <w:t>“blacks cannot close the racial wealth gap by changing their individual behavior…if the structural sources of ma</w:t>
      </w:r>
      <w:r w:rsidR="00BA5109">
        <w:rPr>
          <w:rFonts w:ascii="Arial" w:eastAsia="Arial" w:hAnsi="Arial" w:cs="Arial"/>
          <w:bCs/>
          <w:iCs/>
          <w:sz w:val="22"/>
          <w:szCs w:val="22"/>
        </w:rPr>
        <w:t>jor inequality remain unchanged.</w:t>
      </w:r>
      <w:r w:rsidR="000D4F78" w:rsidRPr="00F07FCD">
        <w:rPr>
          <w:rFonts w:ascii="Arial" w:eastAsia="Arial" w:hAnsi="Arial" w:cs="Arial"/>
          <w:bCs/>
          <w:iCs/>
          <w:sz w:val="22"/>
          <w:szCs w:val="22"/>
        </w:rPr>
        <w:t>”</w:t>
      </w:r>
      <w:r w:rsidR="00BD4FEC" w:rsidRPr="00F819AD">
        <w:rPr>
          <w:rStyle w:val="FootnoteReference"/>
          <w:rFonts w:ascii="Arial" w:eastAsia="Arial" w:hAnsi="Arial" w:cs="Arial"/>
          <w:sz w:val="22"/>
          <w:szCs w:val="22"/>
        </w:rPr>
        <w:footnoteReference w:id="60"/>
      </w:r>
      <w:r w:rsidR="00CC7542" w:rsidRPr="00F819AD">
        <w:rPr>
          <w:rFonts w:ascii="Arial" w:eastAsia="Arial" w:hAnsi="Arial" w:cs="Arial"/>
          <w:sz w:val="22"/>
          <w:szCs w:val="22"/>
        </w:rPr>
        <w:t xml:space="preserve"> </w:t>
      </w:r>
      <w:r w:rsidR="00C740EA" w:rsidRPr="00F819AD">
        <w:rPr>
          <w:rFonts w:ascii="Arial" w:eastAsia="Arial" w:hAnsi="Arial" w:cs="Arial"/>
          <w:sz w:val="22"/>
          <w:szCs w:val="22"/>
        </w:rPr>
        <w:t>To</w:t>
      </w:r>
      <w:r w:rsidR="00237DF4" w:rsidRPr="00F819AD">
        <w:rPr>
          <w:rFonts w:ascii="Arial" w:eastAsia="Arial" w:hAnsi="Arial" w:cs="Arial"/>
          <w:sz w:val="22"/>
          <w:szCs w:val="22"/>
        </w:rPr>
        <w:t xml:space="preserve"> </w:t>
      </w:r>
      <w:r w:rsidR="00A36CC4" w:rsidRPr="00F819AD">
        <w:rPr>
          <w:rFonts w:ascii="Arial" w:eastAsia="Arial" w:hAnsi="Arial" w:cs="Arial"/>
          <w:sz w:val="22"/>
          <w:szCs w:val="22"/>
        </w:rPr>
        <w:t>effectively</w:t>
      </w:r>
      <w:r w:rsidR="00237DF4" w:rsidRPr="00F819AD">
        <w:rPr>
          <w:rFonts w:ascii="Arial" w:eastAsia="Arial" w:hAnsi="Arial" w:cs="Arial"/>
          <w:sz w:val="22"/>
          <w:szCs w:val="22"/>
        </w:rPr>
        <w:t xml:space="preserve"> address racial wealth ine</w:t>
      </w:r>
      <w:r w:rsidR="009C145A" w:rsidRPr="00F819AD">
        <w:rPr>
          <w:rFonts w:ascii="Arial" w:eastAsia="Arial" w:hAnsi="Arial" w:cs="Arial"/>
          <w:sz w:val="22"/>
          <w:szCs w:val="22"/>
        </w:rPr>
        <w:t>quality</w:t>
      </w:r>
      <w:r w:rsidR="003D2601" w:rsidRPr="00F819AD">
        <w:rPr>
          <w:rFonts w:ascii="Arial" w:eastAsia="Arial" w:hAnsi="Arial" w:cs="Arial"/>
          <w:sz w:val="22"/>
          <w:szCs w:val="22"/>
        </w:rPr>
        <w:t xml:space="preserve">, </w:t>
      </w:r>
      <w:r w:rsidR="00A36CC4" w:rsidRPr="00F819AD">
        <w:rPr>
          <w:rFonts w:ascii="Arial" w:eastAsia="Arial" w:hAnsi="Arial" w:cs="Arial"/>
          <w:sz w:val="22"/>
          <w:szCs w:val="22"/>
        </w:rPr>
        <w:t xml:space="preserve">the federal government must make major policy transformations </w:t>
      </w:r>
      <w:r w:rsidR="003D2601" w:rsidRPr="00F819AD">
        <w:rPr>
          <w:rFonts w:ascii="Arial" w:eastAsia="Arial" w:hAnsi="Arial" w:cs="Arial"/>
          <w:sz w:val="22"/>
          <w:szCs w:val="22"/>
        </w:rPr>
        <w:t>that target</w:t>
      </w:r>
      <w:r w:rsidR="00087524" w:rsidRPr="00F819AD">
        <w:rPr>
          <w:rFonts w:ascii="Arial" w:eastAsia="Arial" w:hAnsi="Arial" w:cs="Arial"/>
          <w:sz w:val="22"/>
          <w:szCs w:val="22"/>
        </w:rPr>
        <w:t xml:space="preserve"> the structural and institutional </w:t>
      </w:r>
      <w:r w:rsidR="007C1AD3" w:rsidRPr="00F819AD">
        <w:rPr>
          <w:rFonts w:ascii="Arial" w:eastAsia="Arial" w:hAnsi="Arial" w:cs="Arial"/>
          <w:sz w:val="22"/>
          <w:szCs w:val="22"/>
        </w:rPr>
        <w:t xml:space="preserve">factors </w:t>
      </w:r>
      <w:r w:rsidR="0046124C" w:rsidRPr="00F819AD">
        <w:rPr>
          <w:rFonts w:ascii="Arial" w:eastAsia="Arial" w:hAnsi="Arial" w:cs="Arial"/>
          <w:sz w:val="22"/>
          <w:szCs w:val="22"/>
        </w:rPr>
        <w:t>behind the</w:t>
      </w:r>
      <w:r w:rsidR="007C1AD3" w:rsidRPr="00F819AD">
        <w:rPr>
          <w:rFonts w:ascii="Arial" w:eastAsia="Arial" w:hAnsi="Arial" w:cs="Arial"/>
          <w:sz w:val="22"/>
          <w:szCs w:val="22"/>
        </w:rPr>
        <w:t xml:space="preserve"> racial wealth </w:t>
      </w:r>
      <w:r w:rsidR="0046124C" w:rsidRPr="00F819AD">
        <w:rPr>
          <w:rFonts w:ascii="Arial" w:eastAsia="Arial" w:hAnsi="Arial" w:cs="Arial"/>
          <w:sz w:val="22"/>
          <w:szCs w:val="22"/>
        </w:rPr>
        <w:t>gap</w:t>
      </w:r>
      <w:r w:rsidR="00FA4B4E" w:rsidRPr="00F819AD">
        <w:rPr>
          <w:rFonts w:ascii="Arial" w:eastAsia="Arial" w:hAnsi="Arial" w:cs="Arial"/>
          <w:sz w:val="22"/>
          <w:szCs w:val="22"/>
        </w:rPr>
        <w:t xml:space="preserve"> established through</w:t>
      </w:r>
      <w:r w:rsidR="007C1AD3" w:rsidRPr="00F819AD">
        <w:rPr>
          <w:rFonts w:ascii="Arial" w:eastAsia="Arial" w:hAnsi="Arial" w:cs="Arial"/>
          <w:sz w:val="22"/>
          <w:szCs w:val="22"/>
        </w:rPr>
        <w:t xml:space="preserve"> the historical legacy of</w:t>
      </w:r>
      <w:r w:rsidR="00FA4B4E" w:rsidRPr="00F819AD">
        <w:rPr>
          <w:rFonts w:ascii="Arial" w:eastAsia="Arial" w:hAnsi="Arial" w:cs="Arial"/>
          <w:sz w:val="22"/>
          <w:szCs w:val="22"/>
        </w:rPr>
        <w:t xml:space="preserve"> polices rooted in racism</w:t>
      </w:r>
      <w:r w:rsidR="007C1AD3" w:rsidRPr="00F819AD">
        <w:rPr>
          <w:rFonts w:ascii="Arial" w:eastAsia="Arial" w:hAnsi="Arial" w:cs="Arial"/>
          <w:sz w:val="22"/>
          <w:szCs w:val="22"/>
        </w:rPr>
        <w:t>.</w:t>
      </w:r>
      <w:r w:rsidR="000549FF" w:rsidRPr="00F819AD">
        <w:rPr>
          <w:rFonts w:ascii="Arial" w:eastAsia="Arial" w:hAnsi="Arial" w:cs="Arial"/>
          <w:sz w:val="22"/>
          <w:szCs w:val="22"/>
        </w:rPr>
        <w:t xml:space="preserve"> </w:t>
      </w:r>
    </w:p>
    <w:p w14:paraId="14F84674" w14:textId="4D1656F7" w:rsidR="002D6167" w:rsidRPr="00F819AD" w:rsidRDefault="000549FF" w:rsidP="00F819AD">
      <w:pPr>
        <w:pStyle w:val="paragraph"/>
        <w:spacing w:after="120" w:line="276" w:lineRule="auto"/>
        <w:textAlignment w:val="baseline"/>
        <w:rPr>
          <w:rFonts w:ascii="Arial" w:eastAsia="Arial" w:hAnsi="Arial" w:cs="Arial"/>
          <w:sz w:val="22"/>
          <w:szCs w:val="22"/>
        </w:rPr>
      </w:pPr>
      <w:bookmarkStart w:id="9" w:name="_Hlk518054656"/>
      <w:r w:rsidRPr="00F819AD">
        <w:rPr>
          <w:rFonts w:ascii="Arial" w:eastAsia="Arial" w:hAnsi="Arial" w:cs="Arial"/>
          <w:sz w:val="22"/>
          <w:szCs w:val="22"/>
        </w:rPr>
        <w:lastRenderedPageBreak/>
        <w:t>There is no single policy that can eliminate the racial wealth divide. Rather it will take a suite of policies and interventions to address the various disparities in income, assets and opportunity that constitute the ra</w:t>
      </w:r>
      <w:r w:rsidR="000E7E94" w:rsidRPr="00F819AD">
        <w:rPr>
          <w:rFonts w:ascii="Arial" w:eastAsia="Arial" w:hAnsi="Arial" w:cs="Arial"/>
          <w:sz w:val="22"/>
          <w:szCs w:val="22"/>
        </w:rPr>
        <w:t>cial wealth divide</w:t>
      </w:r>
      <w:bookmarkEnd w:id="9"/>
      <w:r w:rsidR="000E7E94" w:rsidRPr="00F819AD">
        <w:rPr>
          <w:rFonts w:ascii="Arial" w:eastAsia="Arial" w:hAnsi="Arial" w:cs="Arial"/>
          <w:sz w:val="22"/>
          <w:szCs w:val="22"/>
        </w:rPr>
        <w:t xml:space="preserve"> (see Figure 18</w:t>
      </w:r>
      <w:r w:rsidRPr="00F819AD">
        <w:rPr>
          <w:rFonts w:ascii="Arial" w:eastAsia="Arial" w:hAnsi="Arial" w:cs="Arial"/>
          <w:sz w:val="22"/>
          <w:szCs w:val="22"/>
        </w:rPr>
        <w:t xml:space="preserve">). Ultimately, </w:t>
      </w:r>
      <w:hyperlink r:id="rId54" w:history="1">
        <w:r w:rsidRPr="00F819AD">
          <w:rPr>
            <w:rStyle w:val="Hyperlink"/>
            <w:rFonts w:ascii="Arial" w:eastAsia="Arial" w:hAnsi="Arial" w:cs="Arial"/>
            <w:sz w:val="22"/>
            <w:szCs w:val="22"/>
          </w:rPr>
          <w:t>c</w:t>
        </w:r>
        <w:r w:rsidR="009F6902" w:rsidRPr="00F819AD">
          <w:rPr>
            <w:rStyle w:val="Hyperlink"/>
            <w:rFonts w:ascii="Arial" w:eastAsia="Arial" w:hAnsi="Arial" w:cs="Arial"/>
            <w:sz w:val="22"/>
            <w:szCs w:val="22"/>
          </w:rPr>
          <w:t>losing the racial wealth d</w:t>
        </w:r>
        <w:r w:rsidR="00D90889" w:rsidRPr="00F819AD">
          <w:rPr>
            <w:rStyle w:val="Hyperlink"/>
            <w:rFonts w:ascii="Arial" w:eastAsia="Arial" w:hAnsi="Arial" w:cs="Arial"/>
            <w:sz w:val="22"/>
            <w:szCs w:val="22"/>
          </w:rPr>
          <w:t>ivide</w:t>
        </w:r>
      </w:hyperlink>
      <w:r w:rsidR="00D90889" w:rsidRPr="00F819AD">
        <w:rPr>
          <w:rFonts w:ascii="Arial" w:eastAsia="Arial" w:hAnsi="Arial" w:cs="Arial"/>
          <w:sz w:val="22"/>
          <w:szCs w:val="22"/>
        </w:rPr>
        <w:t xml:space="preserve"> will </w:t>
      </w:r>
      <w:r w:rsidRPr="00F819AD">
        <w:rPr>
          <w:rFonts w:ascii="Arial" w:eastAsia="Arial" w:hAnsi="Arial" w:cs="Arial"/>
          <w:sz w:val="22"/>
          <w:szCs w:val="22"/>
        </w:rPr>
        <w:t xml:space="preserve">require an assessment of </w:t>
      </w:r>
      <w:r w:rsidR="00D90889" w:rsidRPr="00F819AD">
        <w:rPr>
          <w:rFonts w:ascii="Arial" w:eastAsia="Arial" w:hAnsi="Arial" w:cs="Arial"/>
          <w:sz w:val="22"/>
          <w:szCs w:val="22"/>
        </w:rPr>
        <w:t>how current federal policies continue to perpetuate racial wealth inequality and enact</w:t>
      </w:r>
      <w:r w:rsidR="0075403C" w:rsidRPr="00F819AD">
        <w:rPr>
          <w:rFonts w:ascii="Arial" w:eastAsia="Arial" w:hAnsi="Arial" w:cs="Arial"/>
          <w:sz w:val="22"/>
          <w:szCs w:val="22"/>
        </w:rPr>
        <w:t xml:space="preserve"> new polices that ensure households of color receive adequate support to build wealth. </w:t>
      </w:r>
      <w:r w:rsidR="00C709B8" w:rsidRPr="00F819AD">
        <w:rPr>
          <w:rFonts w:ascii="Arial" w:eastAsia="Arial" w:hAnsi="Arial" w:cs="Arial"/>
          <w:sz w:val="22"/>
          <w:szCs w:val="22"/>
        </w:rPr>
        <w:t>While no single public policy can</w:t>
      </w:r>
      <w:r w:rsidRPr="00F819AD">
        <w:rPr>
          <w:rFonts w:ascii="Arial" w:eastAsia="Arial" w:hAnsi="Arial" w:cs="Arial"/>
          <w:sz w:val="22"/>
          <w:szCs w:val="22"/>
        </w:rPr>
        <w:t xml:space="preserve"> unilaterally</w:t>
      </w:r>
      <w:r w:rsidR="00C709B8" w:rsidRPr="00F819AD">
        <w:rPr>
          <w:rFonts w:ascii="Arial" w:eastAsia="Arial" w:hAnsi="Arial" w:cs="Arial"/>
          <w:sz w:val="22"/>
          <w:szCs w:val="22"/>
        </w:rPr>
        <w:t xml:space="preserve"> close the racial wealth divide on its own, there are several policy proposals that if enacted as part of a broader movement will significantly reduce racial wealth inequality. </w:t>
      </w:r>
    </w:p>
    <w:p w14:paraId="3101515E" w14:textId="77777777" w:rsidR="000549FF" w:rsidRDefault="000549FF" w:rsidP="00F819AD">
      <w:pPr>
        <w:pStyle w:val="paragraph"/>
        <w:spacing w:after="120" w:line="276" w:lineRule="auto"/>
        <w:textAlignment w:val="baseline"/>
        <w:rPr>
          <w:rFonts w:ascii="Arial" w:hAnsi="Arial" w:cs="Arial"/>
          <w:sz w:val="22"/>
          <w:szCs w:val="22"/>
        </w:rPr>
      </w:pPr>
    </w:p>
    <w:tbl>
      <w:tblPr>
        <w:tblW w:w="8794" w:type="dxa"/>
        <w:jc w:val="center"/>
        <w:tblCellMar>
          <w:left w:w="0" w:type="dxa"/>
          <w:right w:w="0" w:type="dxa"/>
        </w:tblCellMar>
        <w:tblLook w:val="0420" w:firstRow="1" w:lastRow="0" w:firstColumn="0" w:lastColumn="0" w:noHBand="0" w:noVBand="1"/>
      </w:tblPr>
      <w:tblGrid>
        <w:gridCol w:w="5948"/>
        <w:gridCol w:w="2846"/>
      </w:tblGrid>
      <w:tr w:rsidR="000549FF" w:rsidRPr="000549FF" w14:paraId="7CD624ED" w14:textId="77777777" w:rsidTr="00F819AD">
        <w:trPr>
          <w:trHeight w:val="984"/>
          <w:jc w:val="center"/>
        </w:trPr>
        <w:tc>
          <w:tcPr>
            <w:tcW w:w="594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EAAAA" w:themeFill="background2" w:themeFillShade="BF"/>
            <w:tcMar>
              <w:top w:w="54" w:type="dxa"/>
              <w:left w:w="108" w:type="dxa"/>
              <w:bottom w:w="54" w:type="dxa"/>
              <w:right w:w="108" w:type="dxa"/>
            </w:tcMar>
            <w:hideMark/>
          </w:tcPr>
          <w:p w14:paraId="3CD936E9"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b/>
                <w:bCs/>
                <w:sz w:val="22"/>
                <w:szCs w:val="22"/>
              </w:rPr>
              <w:t>Policy​</w:t>
            </w:r>
          </w:p>
        </w:tc>
        <w:tc>
          <w:tcPr>
            <w:tcW w:w="284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AEAAAA" w:themeFill="background2" w:themeFillShade="BF"/>
            <w:tcMar>
              <w:top w:w="54" w:type="dxa"/>
              <w:left w:w="108" w:type="dxa"/>
              <w:bottom w:w="54" w:type="dxa"/>
              <w:right w:w="108" w:type="dxa"/>
            </w:tcMar>
            <w:hideMark/>
          </w:tcPr>
          <w:p w14:paraId="741C4D80"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b/>
                <w:bCs/>
                <w:sz w:val="22"/>
                <w:szCs w:val="22"/>
              </w:rPr>
              <w:t>IASP Audit: Reduction of Black-White Wealth Gap​</w:t>
            </w:r>
          </w:p>
        </w:tc>
      </w:tr>
      <w:tr w:rsidR="000549FF" w:rsidRPr="000549FF" w14:paraId="2144BE45" w14:textId="77777777" w:rsidTr="00F819AD">
        <w:trPr>
          <w:trHeight w:val="511"/>
          <w:jc w:val="center"/>
        </w:trPr>
        <w:tc>
          <w:tcPr>
            <w:tcW w:w="594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3E539AFF"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Student Loan Forgiveness for Low-Income Families​</w:t>
            </w:r>
          </w:p>
        </w:tc>
        <w:tc>
          <w:tcPr>
            <w:tcW w:w="284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286E0F11"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7 percent​</w:t>
            </w:r>
          </w:p>
        </w:tc>
      </w:tr>
      <w:tr w:rsidR="000549FF" w:rsidRPr="000549FF" w14:paraId="3AF0C04B" w14:textId="77777777" w:rsidTr="00F819AD">
        <w:trPr>
          <w:trHeight w:val="511"/>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65440E4B"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Student Loan Forgiveness for Low-Wealth Families​</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7EE53A0B"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37 percent​</w:t>
            </w:r>
          </w:p>
        </w:tc>
      </w:tr>
      <w:tr w:rsidR="000549FF" w:rsidRPr="000549FF" w14:paraId="1549EC63" w14:textId="77777777" w:rsidTr="00F819AD">
        <w:trPr>
          <w:trHeight w:val="511"/>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410DC04F"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Student Loan Forgiveness for Everyone​</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47975FFB"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WORSE​</w:t>
            </w:r>
          </w:p>
        </w:tc>
      </w:tr>
      <w:tr w:rsidR="000549FF" w:rsidRPr="000549FF" w14:paraId="0EA4C8D1" w14:textId="77777777" w:rsidTr="00F819AD">
        <w:trPr>
          <w:trHeight w:val="511"/>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4FFE6163"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Equalize Homeownership Rates​</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6CEB017B"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31 percent​</w:t>
            </w:r>
          </w:p>
        </w:tc>
      </w:tr>
      <w:tr w:rsidR="000549FF" w:rsidRPr="000549FF" w14:paraId="641B8A80" w14:textId="77777777" w:rsidTr="00F819AD">
        <w:trPr>
          <w:trHeight w:val="511"/>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62B8BA96"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Equalize College Graduation Rates​</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63DB0354"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1-3 percent​</w:t>
            </w:r>
          </w:p>
        </w:tc>
      </w:tr>
      <w:tr w:rsidR="000549FF" w:rsidRPr="000549FF" w14:paraId="2AFC20E5" w14:textId="77777777" w:rsidTr="00F819AD">
        <w:trPr>
          <w:trHeight w:val="511"/>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0F9D3A4D"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End Income Inequality​</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EAEA"/>
            <w:tcMar>
              <w:top w:w="54" w:type="dxa"/>
              <w:left w:w="108" w:type="dxa"/>
              <w:bottom w:w="54" w:type="dxa"/>
              <w:right w:w="108" w:type="dxa"/>
            </w:tcMar>
            <w:hideMark/>
          </w:tcPr>
          <w:p w14:paraId="1DD261BC" w14:textId="77777777"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9-11 percent​</w:t>
            </w:r>
          </w:p>
        </w:tc>
      </w:tr>
      <w:tr w:rsidR="000549FF" w:rsidRPr="000549FF" w14:paraId="582BB69E" w14:textId="77777777" w:rsidTr="00F819AD">
        <w:trPr>
          <w:trHeight w:val="709"/>
          <w:jc w:val="center"/>
        </w:trPr>
        <w:tc>
          <w:tcPr>
            <w:tcW w:w="59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2586C27E" w14:textId="2D6FAF34" w:rsidR="000549FF" w:rsidRPr="00F819AD" w:rsidRDefault="000549FF" w:rsidP="00F819AD">
            <w:pPr>
              <w:pStyle w:val="paragraph"/>
              <w:spacing w:after="120" w:line="276" w:lineRule="auto"/>
              <w:rPr>
                <w:rFonts w:ascii="Arial" w:eastAsia="Arial" w:hAnsi="Arial" w:cs="Arial"/>
                <w:sz w:val="22"/>
                <w:szCs w:val="22"/>
              </w:rPr>
            </w:pPr>
            <w:r w:rsidRPr="00F819AD">
              <w:rPr>
                <w:rFonts w:ascii="Arial" w:eastAsia="Arial" w:hAnsi="Arial" w:cs="Arial"/>
                <w:sz w:val="22"/>
                <w:szCs w:val="22"/>
              </w:rPr>
              <w:t>Universal Savings Accounts at birth, with additional deposits​</w:t>
            </w:r>
          </w:p>
        </w:tc>
        <w:tc>
          <w:tcPr>
            <w:tcW w:w="28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1D1D2"/>
            <w:tcMar>
              <w:top w:w="54" w:type="dxa"/>
              <w:left w:w="108" w:type="dxa"/>
              <w:bottom w:w="54" w:type="dxa"/>
              <w:right w:w="108" w:type="dxa"/>
            </w:tcMar>
            <w:hideMark/>
          </w:tcPr>
          <w:p w14:paraId="3DE01252" w14:textId="77777777" w:rsidR="000549FF" w:rsidRPr="00F819AD" w:rsidRDefault="000549FF" w:rsidP="00F819AD">
            <w:pPr>
              <w:pStyle w:val="paragraph"/>
              <w:keepNext/>
              <w:spacing w:after="120" w:line="276" w:lineRule="auto"/>
              <w:rPr>
                <w:rFonts w:ascii="Arial" w:eastAsia="Arial" w:hAnsi="Arial" w:cs="Arial"/>
                <w:sz w:val="22"/>
                <w:szCs w:val="22"/>
              </w:rPr>
            </w:pPr>
            <w:r w:rsidRPr="00F819AD">
              <w:rPr>
                <w:rFonts w:ascii="Arial" w:eastAsia="Arial" w:hAnsi="Arial" w:cs="Arial"/>
                <w:sz w:val="22"/>
                <w:szCs w:val="22"/>
              </w:rPr>
              <w:t>20-80 percent​</w:t>
            </w:r>
          </w:p>
        </w:tc>
      </w:tr>
    </w:tbl>
    <w:p w14:paraId="4DCF5D9C" w14:textId="6BB152CF" w:rsidR="000E7E94" w:rsidRPr="00F819AD" w:rsidRDefault="000E7E94" w:rsidP="00F819AD">
      <w:pPr>
        <w:pStyle w:val="Caption"/>
        <w:spacing w:after="120"/>
        <w:jc w:val="center"/>
        <w:rPr>
          <w:rFonts w:ascii="Arial" w:eastAsia="Arial" w:hAnsi="Arial" w:cs="Arial"/>
          <w:sz w:val="22"/>
          <w:szCs w:val="22"/>
        </w:rPr>
      </w:pPr>
      <w:r w:rsidRPr="00F819AD">
        <w:rPr>
          <w:rFonts w:ascii="Arial" w:eastAsia="Arial" w:hAnsi="Arial" w:cs="Arial"/>
          <w:sz w:val="22"/>
          <w:szCs w:val="22"/>
        </w:rPr>
        <w:t xml:space="preserve">Figure 18 </w:t>
      </w:r>
      <w:r w:rsidRPr="00F819AD">
        <w:rPr>
          <w:rStyle w:val="FootnoteReference"/>
          <w:rFonts w:ascii="Arial" w:eastAsia="Arial" w:hAnsi="Arial" w:cs="Arial"/>
          <w:sz w:val="22"/>
          <w:szCs w:val="22"/>
        </w:rPr>
        <w:footnoteReference w:id="61"/>
      </w:r>
    </w:p>
    <w:p w14:paraId="3B3C1381" w14:textId="28D2FF18" w:rsidR="000549FF" w:rsidRPr="00B21E02" w:rsidRDefault="000549FF" w:rsidP="00F819AD">
      <w:pPr>
        <w:pStyle w:val="paragraph"/>
        <w:spacing w:after="120" w:line="276" w:lineRule="auto"/>
        <w:textAlignment w:val="baseline"/>
        <w:rPr>
          <w:rFonts w:ascii="Arial" w:hAnsi="Arial" w:cs="Arial"/>
          <w:sz w:val="22"/>
          <w:szCs w:val="22"/>
        </w:rPr>
      </w:pPr>
    </w:p>
    <w:p w14:paraId="4BD5BDB1" w14:textId="58E25B5A" w:rsidR="00C709B8" w:rsidRPr="00F819AD" w:rsidRDefault="00C709B8" w:rsidP="00F819AD">
      <w:pPr>
        <w:pStyle w:val="paragraph"/>
        <w:spacing w:after="120" w:line="276" w:lineRule="auto"/>
        <w:textAlignment w:val="baseline"/>
        <w:rPr>
          <w:rFonts w:ascii="Arial" w:eastAsia="Arial" w:hAnsi="Arial" w:cs="Arial"/>
          <w:b/>
          <w:sz w:val="28"/>
          <w:szCs w:val="28"/>
        </w:rPr>
      </w:pPr>
      <w:r w:rsidRPr="00F819AD">
        <w:rPr>
          <w:rFonts w:ascii="Arial" w:eastAsia="Arial" w:hAnsi="Arial" w:cs="Arial"/>
          <w:b/>
          <w:sz w:val="28"/>
          <w:szCs w:val="28"/>
        </w:rPr>
        <w:t>Policy Proposals to Eliminate the Racial Wealth Divide</w:t>
      </w:r>
    </w:p>
    <w:p w14:paraId="160ED0F9" w14:textId="10D19199" w:rsidR="007566A9" w:rsidRPr="00F819AD" w:rsidRDefault="007566A9" w:rsidP="00F819AD">
      <w:pPr>
        <w:pStyle w:val="paragraph"/>
        <w:spacing w:after="120" w:line="276" w:lineRule="auto"/>
        <w:textAlignment w:val="baseline"/>
        <w:rPr>
          <w:rFonts w:ascii="Arial" w:eastAsia="Arial" w:hAnsi="Arial" w:cs="Arial"/>
          <w:sz w:val="22"/>
          <w:szCs w:val="22"/>
        </w:rPr>
      </w:pPr>
      <w:r w:rsidRPr="00F819AD">
        <w:rPr>
          <w:rFonts w:ascii="Arial" w:eastAsia="Arial" w:hAnsi="Arial" w:cs="Arial"/>
          <w:sz w:val="22"/>
          <w:szCs w:val="22"/>
        </w:rPr>
        <w:t>As noted above, most of our conversations with policymakers during the RESULTS International Conference will focus on nutrition programs. But, in some cases our meetings on Capitol Hill offer us an opportunity to educate policymakers and their staff about racial wealth inequality and how housing and tax policy priorities could reduce poverty and reduce the racial wealth divide. We have begun this work to develop a larger frame for our U.S. poverty work and shift grassroots focus to engaging policymakers and candidates this fall on more proactive and visionary policy proposals to reduce poverty</w:t>
      </w:r>
      <w:r w:rsidR="000D4F78">
        <w:rPr>
          <w:rFonts w:ascii="Arial" w:eastAsia="Arial" w:hAnsi="Arial" w:cs="Arial"/>
          <w:sz w:val="22"/>
          <w:szCs w:val="22"/>
        </w:rPr>
        <w:t>. W</w:t>
      </w:r>
      <w:r w:rsidRPr="00F819AD">
        <w:rPr>
          <w:rFonts w:ascii="Arial" w:eastAsia="Arial" w:hAnsi="Arial" w:cs="Arial"/>
          <w:sz w:val="22"/>
          <w:szCs w:val="22"/>
        </w:rPr>
        <w:t xml:space="preserve">e may build on our work on tax policy by </w:t>
      </w:r>
      <w:r w:rsidRPr="00F819AD">
        <w:rPr>
          <w:rFonts w:ascii="Arial" w:eastAsia="Arial" w:hAnsi="Arial" w:cs="Arial"/>
          <w:sz w:val="22"/>
          <w:szCs w:val="22"/>
        </w:rPr>
        <w:lastRenderedPageBreak/>
        <w:t>prioritizing efforts to support affordable rental housing and homeownership, given the impact of housing instability on poverty and racial wealth inequality (and how much of housing policy is implemented through the tax code. Some of the policies we are exploring and interested in discussing with policymakers and candidates include:</w:t>
      </w:r>
    </w:p>
    <w:p w14:paraId="1353677E" w14:textId="3B9A404E" w:rsidR="00E9001C" w:rsidRPr="00F819AD" w:rsidRDefault="00C709B8" w:rsidP="00F819AD">
      <w:pPr>
        <w:pStyle w:val="paragraph"/>
        <w:spacing w:after="120" w:line="276" w:lineRule="auto"/>
        <w:textAlignment w:val="baseline"/>
        <w:rPr>
          <w:rFonts w:ascii="Arial" w:eastAsia="Arial" w:hAnsi="Arial" w:cs="Arial"/>
          <w:b/>
          <w:sz w:val="22"/>
          <w:szCs w:val="22"/>
        </w:rPr>
      </w:pPr>
      <w:r w:rsidRPr="00F819AD">
        <w:rPr>
          <w:rFonts w:ascii="Arial" w:eastAsia="Arial" w:hAnsi="Arial" w:cs="Arial"/>
          <w:b/>
          <w:sz w:val="22"/>
          <w:szCs w:val="22"/>
        </w:rPr>
        <w:t>Wealth Building and Economic Opportunity for People of Color</w:t>
      </w:r>
    </w:p>
    <w:p w14:paraId="6BC8CC7F" w14:textId="52CB5ADF" w:rsidR="00E9001C"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Expand</w:t>
      </w:r>
      <w:r w:rsidR="00E9001C" w:rsidRPr="00F819AD">
        <w:rPr>
          <w:rFonts w:ascii="Arial" w:eastAsia="Arial" w:hAnsi="Arial" w:cs="Arial"/>
          <w:sz w:val="22"/>
          <w:szCs w:val="22"/>
        </w:rPr>
        <w:t xml:space="preserve"> </w:t>
      </w:r>
      <w:r w:rsidR="00E9001C" w:rsidRPr="00F819AD">
        <w:rPr>
          <w:rFonts w:ascii="Arial" w:eastAsia="Arial" w:hAnsi="Arial" w:cs="Arial"/>
          <w:b/>
          <w:color w:val="C00000"/>
          <w:sz w:val="22"/>
          <w:szCs w:val="22"/>
        </w:rPr>
        <w:t>EITC</w:t>
      </w:r>
      <w:r w:rsidR="000D4F78">
        <w:rPr>
          <w:rFonts w:ascii="Arial" w:eastAsia="Arial" w:hAnsi="Arial" w:cs="Arial"/>
          <w:b/>
          <w:color w:val="C00000"/>
          <w:sz w:val="22"/>
          <w:szCs w:val="22"/>
        </w:rPr>
        <w:t xml:space="preserve"> </w:t>
      </w:r>
      <w:r w:rsidR="000D4F78" w:rsidRPr="00F07FCD">
        <w:rPr>
          <w:rFonts w:ascii="Arial" w:eastAsia="Arial" w:hAnsi="Arial" w:cs="Arial"/>
          <w:sz w:val="22"/>
          <w:szCs w:val="22"/>
        </w:rPr>
        <w:t>to benefit childless adult workers and incentivize families to save a portion of the EITC as emergency savings for later in the year</w:t>
      </w:r>
      <w:r w:rsidR="00BD4FEC" w:rsidRPr="00F819AD">
        <w:rPr>
          <w:rStyle w:val="FootnoteReference"/>
          <w:rFonts w:ascii="Arial" w:eastAsia="Arial" w:hAnsi="Arial" w:cs="Arial"/>
          <w:sz w:val="22"/>
          <w:szCs w:val="22"/>
        </w:rPr>
        <w:footnoteReference w:id="62"/>
      </w:r>
      <w:r w:rsidR="00E9001C" w:rsidRPr="00F819AD">
        <w:rPr>
          <w:rFonts w:ascii="Arial" w:eastAsia="Arial" w:hAnsi="Arial" w:cs="Arial"/>
          <w:sz w:val="22"/>
          <w:szCs w:val="22"/>
        </w:rPr>
        <w:t xml:space="preserve"> </w:t>
      </w:r>
    </w:p>
    <w:p w14:paraId="24875BBD" w14:textId="112E6FC2" w:rsidR="00245145" w:rsidRPr="00F819AD" w:rsidRDefault="00245145"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 xml:space="preserve">Boost the </w:t>
      </w:r>
      <w:r w:rsidRPr="00F819AD">
        <w:rPr>
          <w:rFonts w:ascii="Arial" w:eastAsia="Arial" w:hAnsi="Arial" w:cs="Arial"/>
          <w:b/>
          <w:bCs/>
          <w:color w:val="C00000"/>
          <w:sz w:val="22"/>
          <w:szCs w:val="22"/>
        </w:rPr>
        <w:t>Child Tax Credit</w:t>
      </w:r>
      <w:r w:rsidR="003F258F" w:rsidRPr="00F819AD">
        <w:rPr>
          <w:rStyle w:val="FootnoteReference"/>
          <w:rFonts w:ascii="Arial" w:eastAsia="Arial" w:hAnsi="Arial" w:cs="Arial"/>
          <w:sz w:val="22"/>
          <w:szCs w:val="22"/>
        </w:rPr>
        <w:footnoteReference w:id="63"/>
      </w:r>
      <w:r w:rsidRPr="00F819AD">
        <w:rPr>
          <w:rFonts w:ascii="Arial" w:eastAsia="Arial" w:hAnsi="Arial" w:cs="Arial"/>
          <w:sz w:val="22"/>
          <w:szCs w:val="22"/>
        </w:rPr>
        <w:t xml:space="preserve"> for low-income families with young children</w:t>
      </w:r>
    </w:p>
    <w:p w14:paraId="22F75D03" w14:textId="214FA4F5" w:rsidR="00B21E02"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Create</w:t>
      </w:r>
      <w:r w:rsidR="00E9001C" w:rsidRPr="00F819AD">
        <w:rPr>
          <w:rFonts w:ascii="Arial" w:eastAsia="Arial" w:hAnsi="Arial" w:cs="Arial"/>
          <w:sz w:val="22"/>
          <w:szCs w:val="22"/>
        </w:rPr>
        <w:t xml:space="preserve"> </w:t>
      </w:r>
      <w:r w:rsidR="00E9001C" w:rsidRPr="00F819AD">
        <w:rPr>
          <w:rFonts w:ascii="Arial" w:eastAsia="Arial" w:hAnsi="Arial" w:cs="Arial"/>
          <w:b/>
          <w:color w:val="C00000"/>
          <w:sz w:val="22"/>
          <w:szCs w:val="22"/>
        </w:rPr>
        <w:t>Baby Bonds</w:t>
      </w:r>
      <w:r w:rsidR="00E9001C" w:rsidRPr="00F819AD">
        <w:rPr>
          <w:rFonts w:ascii="Arial" w:eastAsia="Arial" w:hAnsi="Arial" w:cs="Arial"/>
          <w:sz w:val="22"/>
          <w:szCs w:val="22"/>
        </w:rPr>
        <w:t>,</w:t>
      </w:r>
      <w:r w:rsidRPr="00F819AD">
        <w:rPr>
          <w:rStyle w:val="FootnoteReference"/>
          <w:rFonts w:ascii="Arial" w:eastAsia="Arial" w:hAnsi="Arial" w:cs="Arial"/>
          <w:sz w:val="22"/>
          <w:szCs w:val="22"/>
        </w:rPr>
        <w:footnoteReference w:id="64"/>
      </w:r>
      <w:r w:rsidR="00E9001C" w:rsidRPr="00F819AD">
        <w:rPr>
          <w:rFonts w:ascii="Arial" w:eastAsia="Arial" w:hAnsi="Arial" w:cs="Arial"/>
          <w:sz w:val="22"/>
          <w:szCs w:val="22"/>
        </w:rPr>
        <w:t xml:space="preserve"> a universal program that would give every child an initial endowment at birth that would be held in a trust until adulthood. Once in adulthood, the money could be used for education, buying a hom</w:t>
      </w:r>
      <w:r w:rsidRPr="00F819AD">
        <w:rPr>
          <w:rFonts w:ascii="Arial" w:eastAsia="Arial" w:hAnsi="Arial" w:cs="Arial"/>
          <w:sz w:val="22"/>
          <w:szCs w:val="22"/>
        </w:rPr>
        <w:t>e</w:t>
      </w:r>
      <w:r w:rsidR="000D4F78">
        <w:rPr>
          <w:rFonts w:ascii="Arial" w:eastAsia="Arial" w:hAnsi="Arial" w:cs="Arial"/>
          <w:sz w:val="22"/>
          <w:szCs w:val="22"/>
        </w:rPr>
        <w:t xml:space="preserve"> or </w:t>
      </w:r>
      <w:r w:rsidRPr="00F819AD">
        <w:rPr>
          <w:rFonts w:ascii="Arial" w:eastAsia="Arial" w:hAnsi="Arial" w:cs="Arial"/>
          <w:sz w:val="22"/>
          <w:szCs w:val="22"/>
        </w:rPr>
        <w:t>car</w:t>
      </w:r>
      <w:r w:rsidR="000D4F78">
        <w:rPr>
          <w:rFonts w:ascii="Arial" w:eastAsia="Arial" w:hAnsi="Arial" w:cs="Arial"/>
          <w:sz w:val="22"/>
          <w:szCs w:val="22"/>
        </w:rPr>
        <w:t>,</w:t>
      </w:r>
      <w:r w:rsidRPr="00F819AD">
        <w:rPr>
          <w:rFonts w:ascii="Arial" w:eastAsia="Arial" w:hAnsi="Arial" w:cs="Arial"/>
          <w:sz w:val="22"/>
          <w:szCs w:val="22"/>
        </w:rPr>
        <w:t xml:space="preserve"> or starting a business</w:t>
      </w:r>
    </w:p>
    <w:p w14:paraId="196BECFD" w14:textId="10472E16" w:rsidR="00E9001C"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Reinstate</w:t>
      </w:r>
      <w:r w:rsidR="00E9001C" w:rsidRPr="00F819AD">
        <w:rPr>
          <w:rFonts w:ascii="Arial" w:eastAsia="Arial" w:hAnsi="Arial" w:cs="Arial"/>
          <w:sz w:val="22"/>
          <w:szCs w:val="22"/>
        </w:rPr>
        <w:t xml:space="preserve"> the </w:t>
      </w:r>
      <w:r w:rsidR="00E9001C" w:rsidRPr="00F819AD">
        <w:rPr>
          <w:rFonts w:ascii="Arial" w:eastAsia="Arial" w:hAnsi="Arial" w:cs="Arial"/>
          <w:b/>
          <w:color w:val="C00000"/>
          <w:sz w:val="22"/>
          <w:szCs w:val="22"/>
        </w:rPr>
        <w:t>First-time Homebuyers’ Tax Credit</w:t>
      </w:r>
      <w:r w:rsidRPr="00F819AD">
        <w:rPr>
          <w:rStyle w:val="FootnoteReference"/>
          <w:rFonts w:ascii="Arial" w:eastAsia="Arial" w:hAnsi="Arial" w:cs="Arial"/>
          <w:sz w:val="22"/>
          <w:szCs w:val="22"/>
        </w:rPr>
        <w:footnoteReference w:id="65"/>
      </w:r>
      <w:r w:rsidR="00E9001C" w:rsidRPr="00F819AD">
        <w:rPr>
          <w:rFonts w:ascii="Arial" w:eastAsia="Arial" w:hAnsi="Arial" w:cs="Arial"/>
          <w:sz w:val="22"/>
          <w:szCs w:val="22"/>
        </w:rPr>
        <w:t xml:space="preserve"> to help more low- and moderate-income households become homeowners </w:t>
      </w:r>
    </w:p>
    <w:p w14:paraId="7D91ABCC" w14:textId="07780C92" w:rsidR="00C709B8" w:rsidRPr="00F819AD" w:rsidRDefault="00B21E02" w:rsidP="00F819AD">
      <w:pPr>
        <w:pStyle w:val="paragraph"/>
        <w:numPr>
          <w:ilvl w:val="0"/>
          <w:numId w:val="6"/>
        </w:numPr>
        <w:spacing w:after="120" w:line="276" w:lineRule="auto"/>
        <w:textAlignment w:val="baseline"/>
        <w:rPr>
          <w:rFonts w:ascii="Arial" w:hAnsi="Arial" w:cs="Arial"/>
          <w:sz w:val="22"/>
          <w:szCs w:val="22"/>
        </w:rPr>
      </w:pPr>
      <w:r w:rsidRPr="00F819AD">
        <w:rPr>
          <w:rFonts w:ascii="Arial" w:eastAsia="Arial" w:hAnsi="Arial" w:cs="Arial"/>
          <w:b/>
          <w:color w:val="C00000"/>
          <w:sz w:val="22"/>
          <w:szCs w:val="22"/>
        </w:rPr>
        <w:t>Reform</w:t>
      </w:r>
      <w:r w:rsidR="00E9001C" w:rsidRPr="00F819AD">
        <w:rPr>
          <w:rFonts w:ascii="Arial" w:eastAsia="Arial" w:hAnsi="Arial" w:cs="Arial"/>
          <w:b/>
          <w:color w:val="C00000"/>
          <w:sz w:val="22"/>
          <w:szCs w:val="22"/>
        </w:rPr>
        <w:t xml:space="preserve"> the</w:t>
      </w:r>
      <w:r w:rsidR="00E9001C" w:rsidRPr="00F819AD">
        <w:rPr>
          <w:rFonts w:ascii="Arial" w:eastAsia="Arial" w:hAnsi="Arial" w:cs="Arial"/>
          <w:color w:val="C00000"/>
          <w:sz w:val="22"/>
          <w:szCs w:val="22"/>
        </w:rPr>
        <w:t xml:space="preserve"> </w:t>
      </w:r>
      <w:r w:rsidR="00E9001C" w:rsidRPr="00F819AD">
        <w:rPr>
          <w:rFonts w:ascii="Arial" w:eastAsia="Arial" w:hAnsi="Arial" w:cs="Arial"/>
          <w:b/>
          <w:color w:val="C00000"/>
          <w:sz w:val="22"/>
          <w:szCs w:val="22"/>
        </w:rPr>
        <w:t>Mortgage Interest and Real Estate Tax Deductions</w:t>
      </w:r>
      <w:r w:rsidRPr="00F819AD">
        <w:rPr>
          <w:rStyle w:val="FootnoteReference"/>
          <w:rFonts w:ascii="Arial" w:eastAsia="Arial" w:hAnsi="Arial" w:cs="Arial"/>
          <w:sz w:val="22"/>
          <w:szCs w:val="22"/>
        </w:rPr>
        <w:footnoteReference w:id="66"/>
      </w:r>
      <w:r w:rsidR="00E9001C" w:rsidRPr="00F819AD">
        <w:rPr>
          <w:rFonts w:ascii="Arial" w:eastAsia="Arial" w:hAnsi="Arial" w:cs="Arial"/>
          <w:sz w:val="22"/>
          <w:szCs w:val="22"/>
        </w:rPr>
        <w:t xml:space="preserve"> which provide vastly more benefits to the wealthy with little support for low- and moderate-income households</w:t>
      </w:r>
    </w:p>
    <w:p w14:paraId="6F7C0254" w14:textId="7C950FF2" w:rsidR="00E9001C" w:rsidRPr="00F819AD" w:rsidRDefault="00E9001C" w:rsidP="00F819AD">
      <w:pPr>
        <w:pStyle w:val="paragraph"/>
        <w:spacing w:after="120" w:line="276" w:lineRule="auto"/>
        <w:textAlignment w:val="baseline"/>
        <w:rPr>
          <w:rFonts w:ascii="Arial" w:eastAsia="Arial" w:hAnsi="Arial" w:cs="Arial"/>
          <w:b/>
          <w:sz w:val="22"/>
          <w:szCs w:val="22"/>
        </w:rPr>
      </w:pPr>
      <w:r w:rsidRPr="00F819AD">
        <w:rPr>
          <w:rFonts w:ascii="Arial" w:eastAsia="Arial" w:hAnsi="Arial" w:cs="Arial"/>
          <w:b/>
          <w:sz w:val="22"/>
          <w:szCs w:val="22"/>
        </w:rPr>
        <w:t xml:space="preserve">Rental Assistance and Affordable Housing </w:t>
      </w:r>
    </w:p>
    <w:p w14:paraId="4EEB05B8" w14:textId="5CF52557" w:rsidR="00F8091E"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 xml:space="preserve">Expand </w:t>
      </w:r>
      <w:r w:rsidR="00E9001C" w:rsidRPr="00F819AD">
        <w:rPr>
          <w:rFonts w:ascii="Arial" w:eastAsia="Arial" w:hAnsi="Arial" w:cs="Arial"/>
          <w:sz w:val="22"/>
          <w:szCs w:val="22"/>
        </w:rPr>
        <w:t xml:space="preserve">the </w:t>
      </w:r>
      <w:r w:rsidR="00E9001C" w:rsidRPr="00F819AD">
        <w:rPr>
          <w:rFonts w:ascii="Arial" w:eastAsia="Arial" w:hAnsi="Arial" w:cs="Arial"/>
          <w:b/>
          <w:color w:val="C00000"/>
          <w:sz w:val="22"/>
          <w:szCs w:val="22"/>
        </w:rPr>
        <w:t>Low-Income Housing Tax Credit</w:t>
      </w:r>
      <w:r w:rsidRPr="00F819AD">
        <w:rPr>
          <w:rStyle w:val="FootnoteReference"/>
          <w:rFonts w:ascii="Arial" w:eastAsia="Arial" w:hAnsi="Arial" w:cs="Arial"/>
          <w:sz w:val="22"/>
          <w:szCs w:val="22"/>
        </w:rPr>
        <w:footnoteReference w:id="67"/>
      </w:r>
      <w:r w:rsidR="00E9001C" w:rsidRPr="00F819AD">
        <w:rPr>
          <w:rFonts w:ascii="Arial" w:eastAsia="Arial" w:hAnsi="Arial" w:cs="Arial"/>
          <w:sz w:val="22"/>
          <w:szCs w:val="22"/>
        </w:rPr>
        <w:t xml:space="preserve"> to target extremely low-income (ELI) households defined as living at or below the federal poverty line or at 30</w:t>
      </w:r>
      <w:r w:rsidR="00C740EA">
        <w:rPr>
          <w:rFonts w:ascii="Arial" w:eastAsia="Arial" w:hAnsi="Arial" w:cs="Arial"/>
          <w:sz w:val="22"/>
          <w:szCs w:val="22"/>
        </w:rPr>
        <w:t xml:space="preserve"> percent</w:t>
      </w:r>
      <w:r w:rsidR="00E9001C" w:rsidRPr="00F819AD">
        <w:rPr>
          <w:rFonts w:ascii="Arial" w:eastAsia="Arial" w:hAnsi="Arial" w:cs="Arial"/>
          <w:sz w:val="22"/>
          <w:szCs w:val="22"/>
        </w:rPr>
        <w:t xml:space="preserve"> of their local area median income (AMI). LI</w:t>
      </w:r>
      <w:r w:rsidR="000D4F78">
        <w:rPr>
          <w:rFonts w:ascii="Arial" w:eastAsia="Arial" w:hAnsi="Arial" w:cs="Arial"/>
          <w:sz w:val="22"/>
          <w:szCs w:val="22"/>
        </w:rPr>
        <w:t>HT</w:t>
      </w:r>
      <w:r w:rsidR="00E9001C" w:rsidRPr="00F819AD">
        <w:rPr>
          <w:rFonts w:ascii="Arial" w:eastAsia="Arial" w:hAnsi="Arial" w:cs="Arial"/>
          <w:sz w:val="22"/>
          <w:szCs w:val="22"/>
        </w:rPr>
        <w:t xml:space="preserve">C provides tax credits to developers to build affordable housing units for low-income households </w:t>
      </w:r>
    </w:p>
    <w:p w14:paraId="608FBB24" w14:textId="4BB0F30A" w:rsidR="00F8091E"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 xml:space="preserve">Increase </w:t>
      </w:r>
      <w:r w:rsidR="00E9001C" w:rsidRPr="00F819AD">
        <w:rPr>
          <w:rFonts w:ascii="Arial" w:eastAsia="Arial" w:hAnsi="Arial" w:cs="Arial"/>
          <w:sz w:val="22"/>
          <w:szCs w:val="22"/>
        </w:rPr>
        <w:t xml:space="preserve">funding for the </w:t>
      </w:r>
      <w:r w:rsidR="00E9001C" w:rsidRPr="00F819AD">
        <w:rPr>
          <w:rFonts w:ascii="Arial" w:eastAsia="Arial" w:hAnsi="Arial" w:cs="Arial"/>
          <w:b/>
          <w:color w:val="C00000"/>
          <w:sz w:val="22"/>
          <w:szCs w:val="22"/>
        </w:rPr>
        <w:t>National Housing Trust Fund</w:t>
      </w:r>
      <w:r w:rsidRPr="00F819AD">
        <w:rPr>
          <w:rStyle w:val="FootnoteReference"/>
          <w:rFonts w:ascii="Arial" w:eastAsia="Arial" w:hAnsi="Arial" w:cs="Arial"/>
          <w:sz w:val="22"/>
          <w:szCs w:val="22"/>
        </w:rPr>
        <w:footnoteReference w:id="68"/>
      </w:r>
      <w:r w:rsidR="00E9001C" w:rsidRPr="00F819AD">
        <w:rPr>
          <w:rFonts w:ascii="Arial" w:eastAsia="Arial" w:hAnsi="Arial" w:cs="Arial"/>
          <w:sz w:val="22"/>
          <w:szCs w:val="22"/>
        </w:rPr>
        <w:t xml:space="preserve"> which provides block grants to states to construct or rehabilitate affordable housing units for low-income households</w:t>
      </w:r>
    </w:p>
    <w:p w14:paraId="4813FB85" w14:textId="4BFE25F1" w:rsidR="002052B3"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lastRenderedPageBreak/>
        <w:t>Expand</w:t>
      </w:r>
      <w:r w:rsidR="00E9001C" w:rsidRPr="00F819AD">
        <w:rPr>
          <w:rFonts w:ascii="Arial" w:eastAsia="Arial" w:hAnsi="Arial" w:cs="Arial"/>
          <w:sz w:val="22"/>
          <w:szCs w:val="22"/>
        </w:rPr>
        <w:t xml:space="preserve"> </w:t>
      </w:r>
      <w:r w:rsidR="00E9001C" w:rsidRPr="00F819AD">
        <w:rPr>
          <w:rFonts w:ascii="Arial" w:eastAsia="Arial" w:hAnsi="Arial" w:cs="Arial"/>
          <w:b/>
          <w:color w:val="C00000"/>
          <w:sz w:val="22"/>
          <w:szCs w:val="22"/>
        </w:rPr>
        <w:t>Housing Vouchers</w:t>
      </w:r>
      <w:r w:rsidRPr="00F819AD">
        <w:rPr>
          <w:rStyle w:val="FootnoteReference"/>
          <w:rFonts w:ascii="Arial" w:eastAsia="Arial" w:hAnsi="Arial" w:cs="Arial"/>
          <w:sz w:val="22"/>
          <w:szCs w:val="22"/>
        </w:rPr>
        <w:footnoteReference w:id="69"/>
      </w:r>
      <w:r w:rsidR="00E9001C" w:rsidRPr="00F819AD">
        <w:rPr>
          <w:rFonts w:ascii="Arial" w:eastAsia="Arial" w:hAnsi="Arial" w:cs="Arial"/>
          <w:sz w:val="22"/>
          <w:szCs w:val="22"/>
        </w:rPr>
        <w:t xml:space="preserve"> to serve more low-income households. Currently, only a quarter of the 19 million eligible households receive housing assistance </w:t>
      </w:r>
    </w:p>
    <w:p w14:paraId="54865453" w14:textId="63201ACB" w:rsidR="002052B3"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Create</w:t>
      </w:r>
      <w:r w:rsidR="00E9001C" w:rsidRPr="00F819AD">
        <w:rPr>
          <w:rFonts w:ascii="Arial" w:eastAsia="Arial" w:hAnsi="Arial" w:cs="Arial"/>
          <w:sz w:val="22"/>
          <w:szCs w:val="22"/>
        </w:rPr>
        <w:t xml:space="preserve"> </w:t>
      </w:r>
      <w:r w:rsidR="00E9001C" w:rsidRPr="00F819AD">
        <w:rPr>
          <w:rFonts w:ascii="Arial" w:eastAsia="Arial" w:hAnsi="Arial" w:cs="Arial"/>
          <w:b/>
          <w:color w:val="C00000"/>
          <w:sz w:val="22"/>
          <w:szCs w:val="22"/>
        </w:rPr>
        <w:t>Opportunity Vouchers</w:t>
      </w:r>
      <w:r w:rsidRPr="00F819AD">
        <w:rPr>
          <w:rStyle w:val="FootnoteReference"/>
          <w:rFonts w:ascii="Arial" w:eastAsia="Arial" w:hAnsi="Arial" w:cs="Arial"/>
          <w:sz w:val="22"/>
          <w:szCs w:val="22"/>
        </w:rPr>
        <w:footnoteReference w:id="70"/>
      </w:r>
      <w:r w:rsidR="00E9001C" w:rsidRPr="00F819AD">
        <w:rPr>
          <w:rFonts w:ascii="Arial" w:eastAsia="Arial" w:hAnsi="Arial" w:cs="Arial"/>
          <w:sz w:val="22"/>
          <w:szCs w:val="22"/>
        </w:rPr>
        <w:t xml:space="preserve"> that enable families with children under age 6 to find housing in low poverty or high opportunity neighborhoods</w:t>
      </w:r>
      <w:r w:rsidR="002052B3" w:rsidRPr="00F819AD">
        <w:rPr>
          <w:rFonts w:ascii="Arial" w:eastAsia="Arial" w:hAnsi="Arial" w:cs="Arial"/>
          <w:sz w:val="22"/>
          <w:szCs w:val="22"/>
        </w:rPr>
        <w:t xml:space="preserve"> </w:t>
      </w:r>
    </w:p>
    <w:p w14:paraId="7E720BAD" w14:textId="408D41C7" w:rsidR="002052B3" w:rsidRPr="00F819AD" w:rsidRDefault="00B21E02"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Establish</w:t>
      </w:r>
      <w:r w:rsidR="00E9001C" w:rsidRPr="00F819AD">
        <w:rPr>
          <w:rFonts w:ascii="Arial" w:eastAsia="Arial" w:hAnsi="Arial" w:cs="Arial"/>
          <w:sz w:val="22"/>
          <w:szCs w:val="22"/>
        </w:rPr>
        <w:t xml:space="preserve"> </w:t>
      </w:r>
      <w:r w:rsidR="00E9001C" w:rsidRPr="00F819AD">
        <w:rPr>
          <w:rFonts w:ascii="Arial" w:eastAsia="Arial" w:hAnsi="Arial" w:cs="Arial"/>
          <w:b/>
          <w:color w:val="C00000"/>
          <w:sz w:val="22"/>
          <w:szCs w:val="22"/>
        </w:rPr>
        <w:t>Federal Emergency Rental Assistance</w:t>
      </w:r>
      <w:r w:rsidRPr="00F819AD">
        <w:rPr>
          <w:rStyle w:val="FootnoteReference"/>
          <w:rFonts w:ascii="Arial" w:eastAsia="Arial" w:hAnsi="Arial" w:cs="Arial"/>
          <w:sz w:val="22"/>
          <w:szCs w:val="22"/>
        </w:rPr>
        <w:footnoteReference w:id="71"/>
      </w:r>
      <w:r w:rsidR="00E9001C" w:rsidRPr="00F819AD">
        <w:rPr>
          <w:rFonts w:ascii="Arial" w:eastAsia="Arial" w:hAnsi="Arial" w:cs="Arial"/>
          <w:sz w:val="22"/>
          <w:szCs w:val="22"/>
        </w:rPr>
        <w:t xml:space="preserve"> to prevent eviction and homelessness</w:t>
      </w:r>
    </w:p>
    <w:p w14:paraId="1A34502E" w14:textId="39EE4EA9" w:rsidR="002052B3" w:rsidRPr="00F819AD" w:rsidRDefault="00E9001C" w:rsidP="00F819AD">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Esta</w:t>
      </w:r>
      <w:r w:rsidR="00B21E02" w:rsidRPr="00F819AD">
        <w:rPr>
          <w:rFonts w:ascii="Arial" w:eastAsia="Arial" w:hAnsi="Arial" w:cs="Arial"/>
          <w:sz w:val="22"/>
          <w:szCs w:val="22"/>
        </w:rPr>
        <w:t>blish</w:t>
      </w:r>
      <w:r w:rsidRPr="00F819AD">
        <w:rPr>
          <w:rFonts w:ascii="Arial" w:eastAsia="Arial" w:hAnsi="Arial" w:cs="Arial"/>
          <w:sz w:val="22"/>
          <w:szCs w:val="22"/>
        </w:rPr>
        <w:t xml:space="preserve"> a </w:t>
      </w:r>
      <w:r w:rsidRPr="00F819AD">
        <w:rPr>
          <w:rFonts w:ascii="Arial" w:eastAsia="Arial" w:hAnsi="Arial" w:cs="Arial"/>
          <w:b/>
          <w:color w:val="C00000"/>
          <w:sz w:val="22"/>
          <w:szCs w:val="22"/>
        </w:rPr>
        <w:t>ban on rental discrimination</w:t>
      </w:r>
      <w:r w:rsidR="00B21E02" w:rsidRPr="00F819AD">
        <w:rPr>
          <w:rStyle w:val="FootnoteReference"/>
          <w:rFonts w:ascii="Arial" w:eastAsia="Arial" w:hAnsi="Arial" w:cs="Arial"/>
          <w:sz w:val="22"/>
          <w:szCs w:val="22"/>
        </w:rPr>
        <w:footnoteReference w:id="72"/>
      </w:r>
      <w:r w:rsidRPr="00F819AD">
        <w:rPr>
          <w:rFonts w:ascii="Arial" w:eastAsia="Arial" w:hAnsi="Arial" w:cs="Arial"/>
          <w:sz w:val="22"/>
          <w:szCs w:val="22"/>
        </w:rPr>
        <w:t xml:space="preserve"> based on source of income, this would target landlords that discriminate against Section 8 housing vouchers </w:t>
      </w:r>
    </w:p>
    <w:p w14:paraId="3EC9816B" w14:textId="27CCC111" w:rsidR="00414889" w:rsidRDefault="00E9001C" w:rsidP="00414889">
      <w:pPr>
        <w:pStyle w:val="paragraph"/>
        <w:numPr>
          <w:ilvl w:val="0"/>
          <w:numId w:val="6"/>
        </w:numPr>
        <w:spacing w:after="120" w:line="276" w:lineRule="auto"/>
        <w:textAlignment w:val="baseline"/>
        <w:rPr>
          <w:rFonts w:ascii="Arial" w:eastAsia="Arial" w:hAnsi="Arial" w:cs="Arial"/>
          <w:sz w:val="22"/>
          <w:szCs w:val="22"/>
        </w:rPr>
      </w:pPr>
      <w:r w:rsidRPr="00F819AD">
        <w:rPr>
          <w:rFonts w:ascii="Arial" w:eastAsia="Arial" w:hAnsi="Arial" w:cs="Arial"/>
          <w:sz w:val="22"/>
          <w:szCs w:val="22"/>
        </w:rPr>
        <w:t xml:space="preserve">Establish a </w:t>
      </w:r>
      <w:r w:rsidRPr="00F819AD">
        <w:rPr>
          <w:rFonts w:ascii="Arial" w:eastAsia="Arial" w:hAnsi="Arial" w:cs="Arial"/>
          <w:b/>
          <w:color w:val="C00000"/>
          <w:sz w:val="22"/>
          <w:szCs w:val="22"/>
        </w:rPr>
        <w:t>Renter’s Credit</w:t>
      </w:r>
      <w:r w:rsidR="00B21E02" w:rsidRPr="00F819AD">
        <w:rPr>
          <w:rStyle w:val="FootnoteReference"/>
          <w:rFonts w:ascii="Arial" w:eastAsia="Arial" w:hAnsi="Arial" w:cs="Arial"/>
          <w:sz w:val="22"/>
          <w:szCs w:val="22"/>
        </w:rPr>
        <w:footnoteReference w:id="73"/>
      </w:r>
      <w:r w:rsidRPr="00F819AD">
        <w:rPr>
          <w:rFonts w:ascii="Arial" w:eastAsia="Arial" w:hAnsi="Arial" w:cs="Arial"/>
          <w:sz w:val="22"/>
          <w:szCs w:val="22"/>
        </w:rPr>
        <w:t xml:space="preserve"> as a complement to LIHTC that would reduce rents on LIHTC projects and other properties to levels the lowest-income families can afford</w:t>
      </w:r>
    </w:p>
    <w:p w14:paraId="5E26C00F" w14:textId="429DF36C" w:rsidR="00414889" w:rsidRDefault="00414889" w:rsidP="00414889">
      <w:pPr>
        <w:pStyle w:val="paragraph"/>
        <w:spacing w:after="120" w:line="276" w:lineRule="auto"/>
        <w:textAlignment w:val="baseline"/>
        <w:rPr>
          <w:rFonts w:ascii="Arial" w:eastAsia="Arial" w:hAnsi="Arial" w:cs="Arial"/>
          <w:sz w:val="22"/>
          <w:szCs w:val="22"/>
        </w:rPr>
      </w:pPr>
      <w:r>
        <w:rPr>
          <w:rFonts w:ascii="Arial" w:eastAsia="Arial" w:hAnsi="Arial" w:cs="Arial"/>
          <w:sz w:val="22"/>
          <w:szCs w:val="22"/>
        </w:rPr>
        <w:t xml:space="preserve">Currently, the Trump Administration and members of Congress have put forth several policy proposals that would either threaten or support affordable housing efforts and reducing the racial wealth gap. The most notable of these proposals include: </w:t>
      </w:r>
    </w:p>
    <w:p w14:paraId="4090473B" w14:textId="7DDBC91E" w:rsidR="00414889" w:rsidRDefault="00414889" w:rsidP="00C31F28">
      <w:pPr>
        <w:pStyle w:val="paragraph"/>
        <w:numPr>
          <w:ilvl w:val="0"/>
          <w:numId w:val="6"/>
        </w:numPr>
        <w:spacing w:after="120" w:line="276" w:lineRule="auto"/>
        <w:textAlignment w:val="baseline"/>
        <w:rPr>
          <w:rFonts w:ascii="Arial" w:eastAsia="Arial" w:hAnsi="Arial" w:cs="Arial"/>
          <w:sz w:val="22"/>
          <w:szCs w:val="22"/>
        </w:rPr>
      </w:pPr>
      <w:r w:rsidRPr="00C31F28">
        <w:rPr>
          <w:rFonts w:ascii="Arial" w:eastAsia="Arial" w:hAnsi="Arial" w:cs="Arial"/>
          <w:b/>
          <w:sz w:val="22"/>
          <w:szCs w:val="22"/>
        </w:rPr>
        <w:t>The Trump Administration’s FY 19 Budget Proposal:</w:t>
      </w:r>
      <w:r w:rsidRPr="00C31F28">
        <w:rPr>
          <w:rFonts w:ascii="Arial" w:eastAsia="Arial" w:hAnsi="Arial" w:cs="Arial"/>
          <w:sz w:val="22"/>
          <w:szCs w:val="22"/>
        </w:rPr>
        <w:t xml:space="preserve"> Trump’s proposal</w:t>
      </w:r>
      <w:r w:rsidR="00BA5109">
        <w:rPr>
          <w:rStyle w:val="FootnoteReference"/>
          <w:rFonts w:ascii="Arial" w:eastAsia="Arial" w:hAnsi="Arial" w:cs="Arial"/>
          <w:sz w:val="22"/>
          <w:szCs w:val="22"/>
        </w:rPr>
        <w:footnoteReference w:id="74"/>
      </w:r>
      <w:r w:rsidRPr="00C31F28">
        <w:rPr>
          <w:rFonts w:ascii="Arial" w:eastAsia="Arial" w:hAnsi="Arial" w:cs="Arial"/>
          <w:sz w:val="22"/>
          <w:szCs w:val="22"/>
        </w:rPr>
        <w:t xml:space="preserve"> wou</w:t>
      </w:r>
      <w:r w:rsidR="00AE0B00">
        <w:rPr>
          <w:rFonts w:ascii="Arial" w:eastAsia="Arial" w:hAnsi="Arial" w:cs="Arial"/>
          <w:sz w:val="22"/>
          <w:szCs w:val="22"/>
        </w:rPr>
        <w:t xml:space="preserve">ld raise rents by 44 percent </w:t>
      </w:r>
      <w:r w:rsidRPr="00C31F28">
        <w:rPr>
          <w:rFonts w:ascii="Arial" w:eastAsia="Arial" w:hAnsi="Arial" w:cs="Arial"/>
          <w:sz w:val="22"/>
          <w:szCs w:val="22"/>
        </w:rPr>
        <w:t xml:space="preserve">on four million people receiving rental assistance from the Department of </w:t>
      </w:r>
      <w:r w:rsidR="00C31F28" w:rsidRPr="00C31F28">
        <w:rPr>
          <w:rFonts w:ascii="Arial" w:eastAsia="Arial" w:hAnsi="Arial" w:cs="Arial"/>
          <w:sz w:val="22"/>
          <w:szCs w:val="22"/>
        </w:rPr>
        <w:t>Housing and Development (HUD). The proposal calls for an increase in minimum rents from 30</w:t>
      </w:r>
      <w:r w:rsidR="00AE0B00">
        <w:rPr>
          <w:rFonts w:ascii="Arial" w:eastAsia="Arial" w:hAnsi="Arial" w:cs="Arial"/>
          <w:sz w:val="22"/>
          <w:szCs w:val="22"/>
        </w:rPr>
        <w:t xml:space="preserve"> to 35 percent </w:t>
      </w:r>
      <w:r w:rsidR="00C31F28" w:rsidRPr="00C31F28">
        <w:rPr>
          <w:rFonts w:ascii="Arial" w:eastAsia="Arial" w:hAnsi="Arial" w:cs="Arial"/>
          <w:sz w:val="22"/>
          <w:szCs w:val="22"/>
        </w:rPr>
        <w:t xml:space="preserve">on households with an adult aged 18 to 65 who doesn’t qualify as disabled as defined by HUD. Further, the proposal would eliminate income deductions that reduce rents for certain households with high out-of-pocket expenses. Currently half of all deductions go to elderly and disabled households, nearly all of which would see rent increases from the change. Trump’s proposal would also eliminate a child care deduction that enables many working parents with rental assistance to afford to work. Lastly, under the proposal, HUD would be granted unlimited authority to impose additional rent increases without congressional approval. </w:t>
      </w:r>
    </w:p>
    <w:p w14:paraId="5AADAAC8" w14:textId="0D4260F9" w:rsidR="00C31F28" w:rsidRDefault="00C31F28" w:rsidP="3DA4B1A1">
      <w:pPr>
        <w:pStyle w:val="paragraph"/>
        <w:numPr>
          <w:ilvl w:val="0"/>
          <w:numId w:val="6"/>
        </w:numPr>
        <w:spacing w:after="120" w:line="276" w:lineRule="auto"/>
        <w:textAlignment w:val="baseline"/>
        <w:rPr>
          <w:rFonts w:ascii="Arial" w:eastAsia="Arial" w:hAnsi="Arial" w:cs="Arial"/>
          <w:sz w:val="22"/>
          <w:szCs w:val="22"/>
        </w:rPr>
      </w:pPr>
      <w:r w:rsidRPr="3DA4B1A1">
        <w:rPr>
          <w:rFonts w:ascii="Arial" w:eastAsia="Arial" w:hAnsi="Arial" w:cs="Arial"/>
          <w:b/>
          <w:bCs/>
          <w:sz w:val="22"/>
          <w:szCs w:val="22"/>
        </w:rPr>
        <w:t>The Promoting Resident Opportunity through Rent Reform Act of 2018:</w:t>
      </w:r>
      <w:r>
        <w:rPr>
          <w:rFonts w:ascii="Arial" w:eastAsia="Arial" w:hAnsi="Arial" w:cs="Arial"/>
          <w:sz w:val="22"/>
          <w:szCs w:val="22"/>
        </w:rPr>
        <w:t xml:space="preserve"> </w:t>
      </w:r>
      <w:r w:rsidR="00AE0B00">
        <w:rPr>
          <w:rFonts w:ascii="Arial" w:eastAsia="Arial" w:hAnsi="Arial" w:cs="Arial"/>
          <w:sz w:val="22"/>
          <w:szCs w:val="22"/>
        </w:rPr>
        <w:t>House Representative Dennis Ross (R-FL)</w:t>
      </w:r>
      <w:r w:rsidR="00BA5109">
        <w:rPr>
          <w:rStyle w:val="FootnoteReference"/>
          <w:rFonts w:ascii="Arial" w:eastAsia="Arial" w:hAnsi="Arial" w:cs="Arial"/>
          <w:sz w:val="22"/>
          <w:szCs w:val="22"/>
        </w:rPr>
        <w:footnoteReference w:id="75"/>
      </w:r>
      <w:r w:rsidR="00AE0B00">
        <w:rPr>
          <w:rFonts w:ascii="Arial" w:eastAsia="Arial" w:hAnsi="Arial" w:cs="Arial"/>
          <w:sz w:val="22"/>
          <w:szCs w:val="22"/>
        </w:rPr>
        <w:t xml:space="preserve"> drafted the </w:t>
      </w:r>
      <w:hyperlink r:id="rId55" w:history="1">
        <w:r w:rsidR="00AE0B00" w:rsidRPr="00BA5109">
          <w:rPr>
            <w:rStyle w:val="Hyperlink"/>
            <w:rFonts w:ascii="Arial" w:eastAsia="Arial" w:hAnsi="Arial" w:cs="Arial"/>
            <w:sz w:val="22"/>
            <w:szCs w:val="22"/>
          </w:rPr>
          <w:t xml:space="preserve">Promoting Resident Opportunity </w:t>
        </w:r>
        <w:r w:rsidR="00AE0B00" w:rsidRPr="00BA5109">
          <w:rPr>
            <w:rStyle w:val="Hyperlink"/>
            <w:rFonts w:ascii="Arial" w:eastAsia="Arial" w:hAnsi="Arial" w:cs="Arial"/>
            <w:sz w:val="22"/>
            <w:szCs w:val="22"/>
          </w:rPr>
          <w:lastRenderedPageBreak/>
          <w:t>through</w:t>
        </w:r>
        <w:r w:rsidR="00BA5109" w:rsidRPr="00BA5109">
          <w:rPr>
            <w:rStyle w:val="Hyperlink"/>
            <w:rFonts w:ascii="Arial" w:eastAsia="Arial" w:hAnsi="Arial" w:cs="Arial"/>
            <w:sz w:val="22"/>
            <w:szCs w:val="22"/>
          </w:rPr>
          <w:t xml:space="preserve"> Rent Reform Act</w:t>
        </w:r>
      </w:hyperlink>
      <w:r w:rsidR="00AE0B00">
        <w:rPr>
          <w:rFonts w:ascii="Arial" w:eastAsia="Arial" w:hAnsi="Arial" w:cs="Arial"/>
          <w:sz w:val="22"/>
          <w:szCs w:val="22"/>
        </w:rPr>
        <w:t xml:space="preserve"> which implements cuts to rent assistance. Under the Ross bill, households receiving rental assistance would be required to pay 30 percent of their incomes for rent or pay a minimum rent of $75 up from $50, depending on which is higher. </w:t>
      </w:r>
      <w:r w:rsidR="00080DD7">
        <w:rPr>
          <w:rFonts w:ascii="Arial" w:eastAsia="Arial" w:hAnsi="Arial" w:cs="Arial"/>
          <w:sz w:val="22"/>
          <w:szCs w:val="22"/>
        </w:rPr>
        <w:t xml:space="preserve">The bill also establishes ‘stepped rent’ and ‘tiered rent’ policies that would generate </w:t>
      </w:r>
      <w:r w:rsidR="00080DD7" w:rsidRPr="00080DD7">
        <w:rPr>
          <w:rFonts w:ascii="Arial" w:eastAsia="Arial" w:hAnsi="Arial" w:cs="Arial"/>
          <w:sz w:val="22"/>
          <w:szCs w:val="22"/>
        </w:rPr>
        <w:t xml:space="preserve">a cliff </w:t>
      </w:r>
      <w:r w:rsidR="00080DD7">
        <w:rPr>
          <w:rFonts w:ascii="Arial" w:eastAsia="Arial" w:hAnsi="Arial" w:cs="Arial"/>
          <w:sz w:val="22"/>
          <w:szCs w:val="22"/>
        </w:rPr>
        <w:t xml:space="preserve">effect </w:t>
      </w:r>
      <w:r w:rsidR="00080DD7" w:rsidRPr="00080DD7">
        <w:rPr>
          <w:rFonts w:ascii="Arial" w:eastAsia="Arial" w:hAnsi="Arial" w:cs="Arial"/>
          <w:sz w:val="22"/>
          <w:szCs w:val="22"/>
        </w:rPr>
        <w:t>where hous</w:t>
      </w:r>
      <w:r w:rsidR="00080DD7">
        <w:rPr>
          <w:rFonts w:ascii="Arial" w:eastAsia="Arial" w:hAnsi="Arial" w:cs="Arial"/>
          <w:sz w:val="22"/>
          <w:szCs w:val="22"/>
        </w:rPr>
        <w:t xml:space="preserve">eholds </w:t>
      </w:r>
      <w:r w:rsidR="00080DD7" w:rsidRPr="00080DD7">
        <w:rPr>
          <w:rFonts w:ascii="Arial" w:eastAsia="Arial" w:hAnsi="Arial" w:cs="Arial"/>
          <w:sz w:val="22"/>
          <w:szCs w:val="22"/>
        </w:rPr>
        <w:t xml:space="preserve">see their rent payments increase every two years regardless of their income level. </w:t>
      </w:r>
      <w:r w:rsidR="00AE0B00" w:rsidRPr="00080DD7">
        <w:rPr>
          <w:rFonts w:ascii="Arial" w:eastAsia="Arial" w:hAnsi="Arial" w:cs="Arial"/>
          <w:sz w:val="22"/>
          <w:szCs w:val="22"/>
        </w:rPr>
        <w:t>Additionally, the Ross bill would provide state public housing authorities</w:t>
      </w:r>
      <w:r w:rsidR="00080DD7" w:rsidRPr="00080DD7">
        <w:rPr>
          <w:rFonts w:ascii="Arial" w:eastAsia="Arial" w:hAnsi="Arial" w:cs="Arial"/>
          <w:sz w:val="22"/>
          <w:szCs w:val="22"/>
        </w:rPr>
        <w:t xml:space="preserve"> with more flexibility and authority to institute rent increases or shallow benefits policies that could hurt recipients with limited federal oversight from HUD. </w:t>
      </w:r>
    </w:p>
    <w:p w14:paraId="2D931956" w14:textId="43B586B2" w:rsidR="00080DD7" w:rsidRDefault="00080DD7" w:rsidP="00080DD7">
      <w:pPr>
        <w:pStyle w:val="paragraph"/>
        <w:numPr>
          <w:ilvl w:val="0"/>
          <w:numId w:val="6"/>
        </w:numPr>
        <w:spacing w:after="120" w:line="276" w:lineRule="auto"/>
        <w:textAlignment w:val="baseline"/>
        <w:rPr>
          <w:rFonts w:ascii="Arial" w:eastAsia="Arial" w:hAnsi="Arial" w:cs="Arial"/>
          <w:sz w:val="22"/>
          <w:szCs w:val="22"/>
        </w:rPr>
      </w:pPr>
      <w:r>
        <w:rPr>
          <w:rFonts w:ascii="Arial" w:eastAsia="Arial" w:hAnsi="Arial" w:cs="Arial"/>
          <w:b/>
          <w:sz w:val="22"/>
          <w:szCs w:val="22"/>
        </w:rPr>
        <w:t>FY 18 Omnibus Funding for the Low-</w:t>
      </w:r>
      <w:r w:rsidRPr="00080DD7">
        <w:rPr>
          <w:rFonts w:ascii="Arial" w:eastAsia="Arial" w:hAnsi="Arial" w:cs="Arial"/>
          <w:b/>
          <w:sz w:val="22"/>
          <w:szCs w:val="22"/>
        </w:rPr>
        <w:t>Income Housing Tax Credit:</w:t>
      </w:r>
      <w:r>
        <w:rPr>
          <w:rFonts w:ascii="Arial" w:eastAsia="Arial" w:hAnsi="Arial" w:cs="Arial"/>
          <w:sz w:val="22"/>
          <w:szCs w:val="22"/>
        </w:rPr>
        <w:t xml:space="preserve"> </w:t>
      </w:r>
      <w:r w:rsidR="00854E12">
        <w:rPr>
          <w:rFonts w:ascii="Arial" w:eastAsia="Arial" w:hAnsi="Arial" w:cs="Arial"/>
          <w:sz w:val="22"/>
          <w:szCs w:val="22"/>
        </w:rPr>
        <w:t>The 2018 o</w:t>
      </w:r>
      <w:r>
        <w:rPr>
          <w:rFonts w:ascii="Arial" w:eastAsia="Arial" w:hAnsi="Arial" w:cs="Arial"/>
          <w:sz w:val="22"/>
          <w:szCs w:val="22"/>
        </w:rPr>
        <w:t>mnibus spending bill passed by Congress included provisions</w:t>
      </w:r>
      <w:r w:rsidR="00BA5109">
        <w:rPr>
          <w:rStyle w:val="FootnoteReference"/>
          <w:rFonts w:ascii="Arial" w:eastAsia="Arial" w:hAnsi="Arial" w:cs="Arial"/>
          <w:sz w:val="22"/>
          <w:szCs w:val="22"/>
        </w:rPr>
        <w:footnoteReference w:id="76"/>
      </w:r>
      <w:r>
        <w:rPr>
          <w:rFonts w:ascii="Arial" w:eastAsia="Arial" w:hAnsi="Arial" w:cs="Arial"/>
          <w:sz w:val="22"/>
          <w:szCs w:val="22"/>
        </w:rPr>
        <w:t xml:space="preserve"> for addressin</w:t>
      </w:r>
      <w:r w:rsidR="00854E12">
        <w:rPr>
          <w:rFonts w:ascii="Arial" w:eastAsia="Arial" w:hAnsi="Arial" w:cs="Arial"/>
          <w:sz w:val="22"/>
          <w:szCs w:val="22"/>
        </w:rPr>
        <w:t xml:space="preserve">g affordable housing shortages. The provisions included in the omnibus drew from </w:t>
      </w:r>
      <w:r w:rsidR="00854E12" w:rsidRPr="00854E12">
        <w:rPr>
          <w:rFonts w:ascii="Arial" w:eastAsia="Arial" w:hAnsi="Arial" w:cs="Arial"/>
          <w:sz w:val="22"/>
          <w:szCs w:val="22"/>
        </w:rPr>
        <w:t xml:space="preserve">portions of the </w:t>
      </w:r>
      <w:hyperlink r:id="rId56" w:history="1">
        <w:r w:rsidR="00854E12" w:rsidRPr="00BA5109">
          <w:rPr>
            <w:rStyle w:val="Hyperlink"/>
            <w:rFonts w:ascii="Arial" w:eastAsia="Arial" w:hAnsi="Arial" w:cs="Arial"/>
            <w:sz w:val="22"/>
            <w:szCs w:val="22"/>
          </w:rPr>
          <w:t>Affordable Housing Credit Improvement Ac</w:t>
        </w:r>
        <w:r w:rsidR="00BA5109" w:rsidRPr="00BA5109">
          <w:rPr>
            <w:rStyle w:val="Hyperlink"/>
            <w:rFonts w:ascii="Arial" w:eastAsia="Arial" w:hAnsi="Arial" w:cs="Arial"/>
            <w:sz w:val="22"/>
            <w:szCs w:val="22"/>
          </w:rPr>
          <w:t>t</w:t>
        </w:r>
      </w:hyperlink>
      <w:r w:rsidR="00854E12" w:rsidRPr="00854E12">
        <w:rPr>
          <w:rFonts w:ascii="Arial" w:eastAsia="Arial" w:hAnsi="Arial" w:cs="Arial"/>
          <w:sz w:val="22"/>
          <w:szCs w:val="22"/>
        </w:rPr>
        <w:t xml:space="preserve"> (S.548) introduced by Sen. Maria Cantwell (D-WA</w:t>
      </w:r>
      <w:r w:rsidR="00854E12">
        <w:rPr>
          <w:rFonts w:ascii="Arial" w:eastAsia="Arial" w:hAnsi="Arial" w:cs="Arial"/>
          <w:sz w:val="22"/>
          <w:szCs w:val="22"/>
        </w:rPr>
        <w:t xml:space="preserve">) and Orrin Hatch (R-UT), which calls </w:t>
      </w:r>
      <w:hyperlink r:id="rId57" w:history="1">
        <w:r w:rsidR="00854E12" w:rsidRPr="00BA5109">
          <w:rPr>
            <w:rStyle w:val="Hyperlink"/>
            <w:rFonts w:ascii="Arial" w:eastAsia="Arial" w:hAnsi="Arial" w:cs="Arial"/>
            <w:sz w:val="22"/>
            <w:szCs w:val="22"/>
          </w:rPr>
          <w:t>for increased funding for low income housing development</w:t>
        </w:r>
      </w:hyperlink>
      <w:r w:rsidR="00854E12" w:rsidRPr="00854E12">
        <w:rPr>
          <w:rFonts w:ascii="Arial" w:eastAsia="Arial" w:hAnsi="Arial" w:cs="Arial"/>
          <w:sz w:val="22"/>
          <w:szCs w:val="22"/>
        </w:rPr>
        <w:t xml:space="preserve"> via the Low-Income Housing Tax Credit</w:t>
      </w:r>
      <w:r w:rsidR="00854E12">
        <w:rPr>
          <w:rFonts w:ascii="Arial" w:eastAsia="Arial" w:hAnsi="Arial" w:cs="Arial"/>
          <w:sz w:val="22"/>
          <w:szCs w:val="22"/>
        </w:rPr>
        <w:t xml:space="preserve"> (LIHTC)</w:t>
      </w:r>
      <w:r w:rsidR="00854E12" w:rsidRPr="00854E12">
        <w:rPr>
          <w:rFonts w:ascii="Arial" w:eastAsia="Arial" w:hAnsi="Arial" w:cs="Arial"/>
          <w:sz w:val="22"/>
          <w:szCs w:val="22"/>
        </w:rPr>
        <w:t>. A somewhat similar affordable housing credit bill (</w:t>
      </w:r>
      <w:hyperlink r:id="rId58" w:history="1">
        <w:r w:rsidR="00854E12" w:rsidRPr="00BA5109">
          <w:rPr>
            <w:rStyle w:val="Hyperlink"/>
            <w:rFonts w:ascii="Arial" w:eastAsia="Arial" w:hAnsi="Arial" w:cs="Arial"/>
            <w:sz w:val="22"/>
            <w:szCs w:val="22"/>
          </w:rPr>
          <w:t>H.R. 1661</w:t>
        </w:r>
      </w:hyperlink>
      <w:r w:rsidR="00854E12" w:rsidRPr="00854E12">
        <w:rPr>
          <w:rFonts w:ascii="Arial" w:eastAsia="Arial" w:hAnsi="Arial" w:cs="Arial"/>
          <w:sz w:val="22"/>
          <w:szCs w:val="22"/>
        </w:rPr>
        <w:t>) was introduced in the House by Rep. Patrick Tiberi (R-OH-12)</w:t>
      </w:r>
      <w:r w:rsidR="00854E12">
        <w:rPr>
          <w:rFonts w:ascii="Arial" w:eastAsia="Arial" w:hAnsi="Arial" w:cs="Arial"/>
          <w:sz w:val="22"/>
          <w:szCs w:val="22"/>
        </w:rPr>
        <w:t xml:space="preserve"> and makes several modifications to LIHTC. </w:t>
      </w:r>
    </w:p>
    <w:p w14:paraId="75485F5D" w14:textId="47DCF896" w:rsidR="00854E12" w:rsidRDefault="00854E12" w:rsidP="00854E12">
      <w:pPr>
        <w:pStyle w:val="paragraph"/>
        <w:spacing w:after="120" w:line="276" w:lineRule="auto"/>
        <w:ind w:left="720"/>
        <w:textAlignment w:val="baseline"/>
        <w:rPr>
          <w:rFonts w:ascii="Arial" w:eastAsia="Arial" w:hAnsi="Arial" w:cs="Arial"/>
          <w:sz w:val="22"/>
          <w:szCs w:val="22"/>
        </w:rPr>
      </w:pPr>
    </w:p>
    <w:p w14:paraId="4B7065DC" w14:textId="63174A08"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noProof/>
          <w:sz w:val="22"/>
          <w:szCs w:val="22"/>
        </w:rPr>
        <mc:AlternateContent>
          <mc:Choice Requires="wps">
            <w:drawing>
              <wp:anchor distT="0" distB="0" distL="114300" distR="114300" simplePos="0" relativeHeight="251715584" behindDoc="0" locked="0" layoutInCell="1" allowOverlap="1" wp14:anchorId="44D91E2A" wp14:editId="53AF0C5C">
                <wp:simplePos x="0" y="0"/>
                <wp:positionH relativeFrom="column">
                  <wp:posOffset>3219450</wp:posOffset>
                </wp:positionH>
                <wp:positionV relativeFrom="paragraph">
                  <wp:posOffset>204470</wp:posOffset>
                </wp:positionV>
                <wp:extent cx="1876331" cy="1061829"/>
                <wp:effectExtent l="0" t="0" r="0" b="0"/>
                <wp:wrapNone/>
                <wp:docPr id="28"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76331" cy="1061829"/>
                        </a:xfrm>
                        <a:prstGeom prst="rect">
                          <a:avLst/>
                        </a:prstGeom>
                        <a:noFill/>
                      </wps:spPr>
                      <wps:txbx>
                        <w:txbxContent>
                          <w:p w14:paraId="500FA1A7" w14:textId="77777777" w:rsidR="00601F98" w:rsidRPr="00854E12" w:rsidRDefault="00601F98" w:rsidP="00854E12">
                            <w:pPr>
                              <w:pStyle w:val="NormalWeb"/>
                              <w:spacing w:before="0" w:beforeAutospacing="0" w:after="0" w:afterAutospacing="0"/>
                              <w:jc w:val="center"/>
                              <w:rPr>
                                <w:sz w:val="26"/>
                                <w:szCs w:val="26"/>
                              </w:rPr>
                            </w:pPr>
                            <w:r w:rsidRPr="00854E12">
                              <w:rPr>
                                <w:rFonts w:asciiTheme="minorHAnsi" w:hAnsi="Calibri" w:cstheme="minorBidi"/>
                                <w:b/>
                                <w:bCs/>
                                <w:color w:val="000000" w:themeColor="text1"/>
                                <w:kern w:val="24"/>
                                <w:sz w:val="26"/>
                                <w:szCs w:val="26"/>
                              </w:rPr>
                              <w:t xml:space="preserve">Affordable HOUSING Credit Improvement Act 2017 </w:t>
                            </w:r>
                          </w:p>
                        </w:txbxContent>
                      </wps:txbx>
                      <wps:bodyPr wrap="square" rtlCol="0">
                        <a:spAutoFit/>
                      </wps:bodyPr>
                    </wps:wsp>
                  </a:graphicData>
                </a:graphic>
              </wp:anchor>
            </w:drawing>
          </mc:Choice>
          <mc:Fallback>
            <w:pict>
              <v:shape w14:anchorId="44D91E2A" id="TextBox 6" o:spid="_x0000_s1034" type="#_x0000_t202" style="position:absolute;left:0;text-align:left;margin-left:253.5pt;margin-top:16.1pt;width:147.75pt;height:8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" filled="f" stroked="f">
                <v:textbox style="mso-fit-shape-to-text:t">
                  <w:txbxContent>
                    <w:p w14:paraId="500FA1A7" w14:textId="77777777" w:rsidR="00601F98" w:rsidRPr="00854E12" w:rsidRDefault="00601F98" w:rsidP="00854E12">
                      <w:pPr>
                        <w:pStyle w:val="NormalWeb"/>
                        <w:spacing w:before="0" w:beforeAutospacing="0" w:after="0" w:afterAutospacing="0"/>
                        <w:jc w:val="center"/>
                        <w:rPr>
                          <w:sz w:val="26"/>
                          <w:szCs w:val="26"/>
                        </w:rPr>
                      </w:pPr>
                      <w:r w:rsidRPr="00854E12">
                        <w:rPr>
                          <w:rFonts w:asciiTheme="minorHAnsi" w:hAnsi="Calibri" w:cstheme="minorBidi"/>
                          <w:b/>
                          <w:bCs/>
                          <w:color w:val="000000" w:themeColor="text1"/>
                          <w:kern w:val="24"/>
                          <w:sz w:val="26"/>
                          <w:szCs w:val="26"/>
                        </w:rPr>
                        <w:t xml:space="preserve">Affordable HOUSING Credit Improvement Act 2017 </w:t>
                      </w:r>
                    </w:p>
                  </w:txbxContent>
                </v:textbox>
              </v:shape>
            </w:pict>
          </mc:Fallback>
        </mc:AlternateContent>
      </w:r>
      <w:r w:rsidRPr="00854E12">
        <w:rPr>
          <w:rFonts w:ascii="Arial" w:eastAsia="Arial" w:hAnsi="Arial" w:cs="Arial"/>
          <w:noProof/>
          <w:sz w:val="22"/>
          <w:szCs w:val="22"/>
        </w:rPr>
        <mc:AlternateContent>
          <mc:Choice Requires="wps">
            <w:drawing>
              <wp:anchor distT="0" distB="0" distL="114300" distR="114300" simplePos="0" relativeHeight="251713536" behindDoc="0" locked="0" layoutInCell="1" allowOverlap="1" wp14:anchorId="021B5BF7" wp14:editId="61AE88DA">
                <wp:simplePos x="0" y="0"/>
                <wp:positionH relativeFrom="column">
                  <wp:posOffset>971550</wp:posOffset>
                </wp:positionH>
                <wp:positionV relativeFrom="paragraph">
                  <wp:posOffset>133350</wp:posOffset>
                </wp:positionV>
                <wp:extent cx="1810693" cy="553998"/>
                <wp:effectExtent l="0" t="0" r="0" b="0"/>
                <wp:wrapNone/>
                <wp:docPr id="26"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810693" cy="553998"/>
                        </a:xfrm>
                        <a:prstGeom prst="rect">
                          <a:avLst/>
                        </a:prstGeom>
                        <a:noFill/>
                      </wps:spPr>
                      <wps:txbx>
                        <w:txbxContent>
                          <w:p w14:paraId="240C557C" w14:textId="77777777" w:rsidR="00601F98" w:rsidRPr="00854E12" w:rsidRDefault="00601F98" w:rsidP="00854E12">
                            <w:pPr>
                              <w:pStyle w:val="NormalWeb"/>
                              <w:spacing w:before="0" w:beforeAutospacing="0" w:after="0" w:afterAutospacing="0"/>
                              <w:jc w:val="center"/>
                              <w:rPr>
                                <w:sz w:val="26"/>
                                <w:szCs w:val="26"/>
                              </w:rPr>
                            </w:pPr>
                            <w:r w:rsidRPr="00854E12">
                              <w:rPr>
                                <w:rFonts w:asciiTheme="minorHAnsi" w:hAnsi="Calibri" w:cstheme="minorBidi"/>
                                <w:b/>
                                <w:bCs/>
                                <w:color w:val="000000" w:themeColor="text1"/>
                                <w:kern w:val="24"/>
                                <w:sz w:val="26"/>
                                <w:szCs w:val="26"/>
                              </w:rPr>
                              <w:t>FY 2018 Omnibus SPENDING Bill</w:t>
                            </w:r>
                          </w:p>
                        </w:txbxContent>
                      </wps:txbx>
                      <wps:bodyPr wrap="square" rtlCol="0">
                        <a:spAutoFit/>
                      </wps:bodyPr>
                    </wps:wsp>
                  </a:graphicData>
                </a:graphic>
              </wp:anchor>
            </w:drawing>
          </mc:Choice>
          <mc:Fallback>
            <w:pict>
              <v:shape w14:anchorId="021B5BF7" id="TextBox 5" o:spid="_x0000_s1035" type="#_x0000_t202" style="position:absolute;left:0;text-align:left;margin-left:76.5pt;margin-top:10.5pt;width:142.55pt;height:43.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" filled="f" stroked="f">
                <v:textbox style="mso-fit-shape-to-text:t">
                  <w:txbxContent>
                    <w:p w14:paraId="240C557C" w14:textId="77777777" w:rsidR="00601F98" w:rsidRPr="00854E12" w:rsidRDefault="00601F98" w:rsidP="00854E12">
                      <w:pPr>
                        <w:pStyle w:val="NormalWeb"/>
                        <w:spacing w:before="0" w:beforeAutospacing="0" w:after="0" w:afterAutospacing="0"/>
                        <w:jc w:val="center"/>
                        <w:rPr>
                          <w:sz w:val="26"/>
                          <w:szCs w:val="26"/>
                        </w:rPr>
                      </w:pPr>
                      <w:r w:rsidRPr="00854E12">
                        <w:rPr>
                          <w:rFonts w:asciiTheme="minorHAnsi" w:hAnsi="Calibri" w:cstheme="minorBidi"/>
                          <w:b/>
                          <w:bCs/>
                          <w:color w:val="000000" w:themeColor="text1"/>
                          <w:kern w:val="24"/>
                          <w:sz w:val="26"/>
                          <w:szCs w:val="26"/>
                        </w:rPr>
                        <w:t>FY 2018 Omnibus SPENDING Bill</w:t>
                      </w:r>
                    </w:p>
                  </w:txbxContent>
                </v:textbox>
              </v:shape>
            </w:pict>
          </mc:Fallback>
        </mc:AlternateContent>
      </w:r>
      <w:r w:rsidRPr="00854E12">
        <w:rPr>
          <w:rFonts w:ascii="Arial" w:eastAsia="Arial" w:hAnsi="Arial" w:cs="Arial"/>
          <w:noProof/>
          <w:sz w:val="22"/>
          <w:szCs w:val="22"/>
        </w:rPr>
        <mc:AlternateContent>
          <mc:Choice Requires="wpg">
            <w:drawing>
              <wp:anchor distT="0" distB="0" distL="114300" distR="114300" simplePos="0" relativeHeight="251711488" behindDoc="0" locked="0" layoutInCell="1" allowOverlap="1" wp14:anchorId="2732D5A7" wp14:editId="56D5E4F9">
                <wp:simplePos x="0" y="0"/>
                <wp:positionH relativeFrom="margin">
                  <wp:align>center</wp:align>
                </wp:positionH>
                <wp:positionV relativeFrom="paragraph">
                  <wp:posOffset>13970</wp:posOffset>
                </wp:positionV>
                <wp:extent cx="5381625" cy="3181350"/>
                <wp:effectExtent l="0" t="0" r="28575" b="19050"/>
                <wp:wrapNone/>
                <wp:docPr id="21"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81625" cy="3181350"/>
                          <a:chOff x="0" y="0"/>
                          <a:chExt cx="6736517" cy="3900470"/>
                        </a:xfrm>
                      </wpg:grpSpPr>
                      <wps:wsp>
                        <wps:cNvPr id="22" name="Freeform: Shape 22">
                          <a:extLst/>
                        </wps:cNvPr>
                        <wps:cNvSpPr/>
                        <wps:spPr>
                          <a:xfrm>
                            <a:off x="2837372" y="0"/>
                            <a:ext cx="3899145" cy="3899145"/>
                          </a:xfrm>
                          <a:custGeom>
                            <a:avLst/>
                            <a:gdLst>
                              <a:gd name="connsiteX0" fmla="*/ 0 w 3899145"/>
                              <a:gd name="connsiteY0" fmla="*/ 1949573 h 3899145"/>
                              <a:gd name="connsiteX1" fmla="*/ 1949573 w 3899145"/>
                              <a:gd name="connsiteY1" fmla="*/ 0 h 3899145"/>
                              <a:gd name="connsiteX2" fmla="*/ 3899146 w 3899145"/>
                              <a:gd name="connsiteY2" fmla="*/ 1949573 h 3899145"/>
                              <a:gd name="connsiteX3" fmla="*/ 1949573 w 3899145"/>
                              <a:gd name="connsiteY3" fmla="*/ 3899146 h 3899145"/>
                              <a:gd name="connsiteX4" fmla="*/ 0 w 3899145"/>
                              <a:gd name="connsiteY4" fmla="*/ 1949573 h 3899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99145" h="3899145">
                                <a:moveTo>
                                  <a:pt x="0" y="1949573"/>
                                </a:moveTo>
                                <a:cubicBezTo>
                                  <a:pt x="0" y="872854"/>
                                  <a:pt x="872854" y="0"/>
                                  <a:pt x="1949573" y="0"/>
                                </a:cubicBezTo>
                                <a:cubicBezTo>
                                  <a:pt x="3026292" y="0"/>
                                  <a:pt x="3899146" y="872854"/>
                                  <a:pt x="3899146" y="1949573"/>
                                </a:cubicBezTo>
                                <a:cubicBezTo>
                                  <a:pt x="3899146" y="3026292"/>
                                  <a:pt x="3026292" y="3899146"/>
                                  <a:pt x="1949573" y="3899146"/>
                                </a:cubicBezTo>
                                <a:cubicBezTo>
                                  <a:pt x="872854" y="3899146"/>
                                  <a:pt x="0" y="3026292"/>
                                  <a:pt x="0" y="1949573"/>
                                </a:cubicBezTo>
                                <a:close/>
                              </a:path>
                            </a:pathLst>
                          </a:custGeom>
                        </wps:spPr>
                        <wps:style>
                          <a:lnRef idx="1">
                            <a:schemeClr val="accent2"/>
                          </a:lnRef>
                          <a:fillRef idx="2">
                            <a:schemeClr val="accent2"/>
                          </a:fillRef>
                          <a:effectRef idx="1">
                            <a:schemeClr val="accent2"/>
                          </a:effectRef>
                          <a:fontRef idx="minor">
                            <a:schemeClr val="dk1"/>
                          </a:fontRef>
                        </wps:style>
                        <wps:txbx>
                          <w:txbxContent>
                            <w:p w14:paraId="7F5F8A2D"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50% increase in housing credits over 10 years </w:t>
                              </w:r>
                            </w:p>
                            <w:p w14:paraId="0F44CE0C"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Would add an extra 400,000 affordable homes over 10 years </w:t>
                              </w:r>
                            </w:p>
                          </w:txbxContent>
                        </wps:txbx>
                        <wps:bodyPr spcFirstLastPara="0" vert="horz" wrap="square" lIns="1106515" tIns="459793" rIns="544474" bIns="459793" numCol="1" spcCol="1270" anchor="ctr" anchorCtr="0">
                          <a:noAutofit/>
                        </wps:bodyPr>
                      </wps:wsp>
                      <wps:wsp>
                        <wps:cNvPr id="25" name="Freeform: Shape 25">
                          <a:extLst/>
                        </wps:cNvPr>
                        <wps:cNvSpPr/>
                        <wps:spPr>
                          <a:xfrm>
                            <a:off x="0" y="1325"/>
                            <a:ext cx="3899145" cy="3899145"/>
                          </a:xfrm>
                          <a:custGeom>
                            <a:avLst/>
                            <a:gdLst>
                              <a:gd name="connsiteX0" fmla="*/ 0 w 3899145"/>
                              <a:gd name="connsiteY0" fmla="*/ 1949573 h 3899145"/>
                              <a:gd name="connsiteX1" fmla="*/ 1949573 w 3899145"/>
                              <a:gd name="connsiteY1" fmla="*/ 0 h 3899145"/>
                              <a:gd name="connsiteX2" fmla="*/ 3899146 w 3899145"/>
                              <a:gd name="connsiteY2" fmla="*/ 1949573 h 3899145"/>
                              <a:gd name="connsiteX3" fmla="*/ 1949573 w 3899145"/>
                              <a:gd name="connsiteY3" fmla="*/ 3899146 h 3899145"/>
                              <a:gd name="connsiteX4" fmla="*/ 0 w 3899145"/>
                              <a:gd name="connsiteY4" fmla="*/ 1949573 h 38991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99145" h="3899145">
                                <a:moveTo>
                                  <a:pt x="0" y="1949573"/>
                                </a:moveTo>
                                <a:cubicBezTo>
                                  <a:pt x="0" y="872854"/>
                                  <a:pt x="872854" y="0"/>
                                  <a:pt x="1949573" y="0"/>
                                </a:cubicBezTo>
                                <a:cubicBezTo>
                                  <a:pt x="3026292" y="0"/>
                                  <a:pt x="3899146" y="872854"/>
                                  <a:pt x="3899146" y="1949573"/>
                                </a:cubicBezTo>
                                <a:cubicBezTo>
                                  <a:pt x="3899146" y="3026292"/>
                                  <a:pt x="3026292" y="3899146"/>
                                  <a:pt x="1949573" y="3899146"/>
                                </a:cubicBezTo>
                                <a:cubicBezTo>
                                  <a:pt x="872854" y="3899146"/>
                                  <a:pt x="0" y="3026292"/>
                                  <a:pt x="0" y="1949573"/>
                                </a:cubicBezTo>
                                <a:close/>
                              </a:path>
                            </a:pathLst>
                          </a:custGeom>
                          <a:noFill/>
                        </wps:spPr>
                        <wps:style>
                          <a:lnRef idx="2">
                            <a:schemeClr val="accent2"/>
                          </a:lnRef>
                          <a:fillRef idx="1">
                            <a:schemeClr val="lt1"/>
                          </a:fillRef>
                          <a:effectRef idx="0">
                            <a:schemeClr val="accent2"/>
                          </a:effectRef>
                          <a:fontRef idx="minor">
                            <a:schemeClr val="dk1"/>
                          </a:fontRef>
                        </wps:style>
                        <wps:txbx>
                          <w:txbxContent>
                            <w:p w14:paraId="3C3ADB7E" w14:textId="77777777" w:rsidR="00601F98" w:rsidRDefault="00601F98" w:rsidP="00854E12">
                              <w:pPr>
                                <w:pStyle w:val="NormalWeb"/>
                                <w:spacing w:before="0" w:beforeAutospacing="0" w:after="118" w:afterAutospacing="0" w:line="216" w:lineRule="auto"/>
                                <w:rPr>
                                  <w:rFonts w:asciiTheme="minorHAnsi" w:hAnsi="Calibri" w:cstheme="minorBidi"/>
                                  <w:color w:val="000000" w:themeColor="dark1"/>
                                  <w:kern w:val="24"/>
                                  <w:sz w:val="22"/>
                                  <w:szCs w:val="22"/>
                                </w:rPr>
                              </w:pPr>
                            </w:p>
                            <w:p w14:paraId="5DA152D6" w14:textId="39035135"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12.5% increase in housing credits over 4 years</w:t>
                              </w:r>
                            </w:p>
                            <w:p w14:paraId="10F3C997"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Would add an extra 28,400 affordable homes over 10 years*</w:t>
                              </w:r>
                            </w:p>
                            <w:p w14:paraId="73896445" w14:textId="77777777" w:rsidR="00601F98" w:rsidRDefault="00601F98" w:rsidP="00854E12">
                              <w:pPr>
                                <w:pStyle w:val="NormalWeb"/>
                                <w:spacing w:before="0" w:beforeAutospacing="0" w:after="118" w:afterAutospacing="0" w:line="216" w:lineRule="auto"/>
                                <w:jc w:val="center"/>
                              </w:pPr>
                              <w:r w:rsidRPr="00854E12">
                                <w:rPr>
                                  <w:rFonts w:asciiTheme="minorHAnsi" w:hAnsi="Calibri" w:cstheme="minorBidi"/>
                                  <w:color w:val="000000" w:themeColor="dark1"/>
                                  <w:kern w:val="24"/>
                                  <w:sz w:val="22"/>
                                  <w:szCs w:val="22"/>
                                </w:rPr>
                                <w:t>*</w:t>
                              </w:r>
                              <w:r w:rsidRPr="00854E12">
                                <w:rPr>
                                  <w:rFonts w:asciiTheme="minorHAnsi" w:hAnsi="Calibri" w:cstheme="minorBidi"/>
                                  <w:i/>
                                  <w:iCs/>
                                  <w:color w:val="000000" w:themeColor="dark1"/>
                                  <w:kern w:val="24"/>
                                  <w:sz w:val="22"/>
                                  <w:szCs w:val="22"/>
                                </w:rPr>
                                <w:t xml:space="preserve">However, these new homes </w:t>
                              </w:r>
                              <w:hyperlink r:id="rId59" w:history="1">
                                <w:r w:rsidRPr="00854E12">
                                  <w:rPr>
                                    <w:rStyle w:val="Hyperlink"/>
                                    <w:rFonts w:asciiTheme="minorHAnsi" w:hAnsi="Calibri" w:cstheme="minorBidi"/>
                                    <w:i/>
                                    <w:iCs/>
                                    <w:color w:val="000000" w:themeColor="dark1"/>
                                    <w:kern w:val="24"/>
                                    <w:sz w:val="22"/>
                                    <w:szCs w:val="22"/>
                                  </w:rPr>
                                  <w:t>will not offset the 235,000 affordable home deficit</w:t>
                                </w:r>
                              </w:hyperlink>
                              <w:r w:rsidRPr="00854E12">
                                <w:rPr>
                                  <w:rFonts w:asciiTheme="minorHAnsi" w:hAnsi="Calibri" w:cstheme="minorBidi"/>
                                  <w:i/>
                                  <w:iCs/>
                                  <w:color w:val="000000" w:themeColor="dark1"/>
                                  <w:kern w:val="24"/>
                                  <w:sz w:val="22"/>
                                  <w:szCs w:val="22"/>
                                </w:rPr>
                                <w:t xml:space="preserve"> due to the 2017 tax reform bill </w:t>
                              </w:r>
                            </w:p>
                          </w:txbxContent>
                        </wps:txbx>
                        <wps:bodyPr spcFirstLastPara="0" vert="horz" wrap="square" lIns="544475" tIns="459793" rIns="1106514" bIns="459793"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732D5A7" id="Group 8" o:spid="_x0000_s1036" style="position:absolute;left:0;text-align:left;margin-left:0;margin-top:1.1pt;width:423.75pt;height:250.5pt;z-index:251711488;mso-position-horizontal:center;mso-position-horizontal-relative:margin;mso-width-relative:margin;mso-height-relative:margin" coordsize="67365,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">
                <v:shape id="Freeform: Shape 22" o:spid="_x0000_s1037" style="position:absolute;left:28373;width:38992;height:38991;visibility:visible;mso-wrap-style:square;v-text-anchor:middle" coordsize="3899145,389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" adj="-11796480,,5400" path="m,1949573c,872854,872854,,1949573,,3026292,,3899146,872854,3899146,1949573v,1076719,-872854,1949573,-1949573,1949573c872854,3899146,,3026292,,1949573xe" fillcolor="#f3a875 [2165]" strokecolor="#ed7d31 [3205]" strokeweight=".5pt">
                  <v:fill color2="#f09558 [2613]" rotate="t" colors="0 #f7bda4;.5 #f5b195;1 #f8a581" focus="100%" type="gradient">
                    <o:fill v:ext="view" type="gradientUnscaled"/>
                  </v:fill>
                  <v:stroke joinstyle="miter"/>
                  <v:formulas/>
                  <v:path arrowok="t" o:connecttype="custom" o:connectlocs="0,1949573;1949573,0;3899146,1949573;1949573,3899146;0,1949573" o:connectangles="0,0,0,0,0" textboxrect="0,0,3899145,3899145"/>
                  <v:textbox inset="30.73653mm,12.772mm,15.12428mm,12.772mm">
                    <w:txbxContent>
                      <w:p w14:paraId="7F5F8A2D"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50% increase in housing credits over 10 years </w:t>
                        </w:r>
                      </w:p>
                      <w:p w14:paraId="0F44CE0C"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Would add an extra 400,000 affordable homes over 10 years </w:t>
                        </w:r>
                      </w:p>
                    </w:txbxContent>
                  </v:textbox>
                </v:shape>
                <v:shape id="Freeform: Shape 25" o:spid="_x0000_s1038" style="position:absolute;top:13;width:38991;height:38991;visibility:visible;mso-wrap-style:square;v-text-anchor:middle" coordsize="3899145,3899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" adj="-11796480,,5400" path="m,1949573c,872854,872854,,1949573,,3026292,,3899146,872854,3899146,1949573v,1076719,-872854,1949573,-1949573,1949573c872854,3899146,,3026292,,1949573xe" filled="f" strokecolor="#ed7d31 [3205]" strokeweight="1pt">
                  <v:stroke joinstyle="miter"/>
                  <v:formulas/>
                  <v:path arrowok="t" o:connecttype="custom" o:connectlocs="0,1949573;1949573,0;3899146,1949573;1949573,3899146;0,1949573" o:connectangles="0,0,0,0,0" textboxrect="0,0,3899145,3899145"/>
                  <v:textbox inset="15.12431mm,12.772mm,30.7365mm,12.772mm">
                    <w:txbxContent>
                      <w:p w14:paraId="3C3ADB7E" w14:textId="77777777" w:rsidR="00601F98" w:rsidRDefault="00601F98" w:rsidP="00854E12">
                        <w:pPr>
                          <w:pStyle w:val="NormalWeb"/>
                          <w:spacing w:before="0" w:beforeAutospacing="0" w:after="118" w:afterAutospacing="0" w:line="216" w:lineRule="auto"/>
                          <w:rPr>
                            <w:rFonts w:asciiTheme="minorHAnsi" w:hAnsi="Calibri" w:cstheme="minorBidi"/>
                            <w:color w:val="000000" w:themeColor="dark1"/>
                            <w:kern w:val="24"/>
                            <w:sz w:val="22"/>
                            <w:szCs w:val="22"/>
                          </w:rPr>
                        </w:pPr>
                      </w:p>
                      <w:p w14:paraId="5DA152D6" w14:textId="39035135"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12.5% increase in housing credits over 4 years</w:t>
                        </w:r>
                      </w:p>
                      <w:p w14:paraId="10F3C997" w14:textId="77777777" w:rsidR="00601F98" w:rsidRPr="00854E12" w:rsidRDefault="00601F98" w:rsidP="00854E12">
                        <w:pPr>
                          <w:pStyle w:val="NormalWeb"/>
                          <w:spacing w:before="0" w:beforeAutospacing="0" w:after="118" w:afterAutospacing="0" w:line="216" w:lineRule="auto"/>
                          <w:jc w:val="center"/>
                          <w:rPr>
                            <w:sz w:val="22"/>
                            <w:szCs w:val="22"/>
                          </w:rPr>
                        </w:pPr>
                        <w:r w:rsidRPr="00854E12">
                          <w:rPr>
                            <w:rFonts w:asciiTheme="minorHAnsi" w:hAnsi="Calibri" w:cstheme="minorBidi"/>
                            <w:color w:val="000000" w:themeColor="dark1"/>
                            <w:kern w:val="24"/>
                            <w:sz w:val="22"/>
                            <w:szCs w:val="22"/>
                          </w:rPr>
                          <w:t>Would add an extra 28,400 affordable homes over 10 years*</w:t>
                        </w:r>
                      </w:p>
                      <w:p w14:paraId="73896445" w14:textId="77777777" w:rsidR="00601F98" w:rsidRDefault="00601F98" w:rsidP="00854E12">
                        <w:pPr>
                          <w:pStyle w:val="NormalWeb"/>
                          <w:spacing w:before="0" w:beforeAutospacing="0" w:after="118" w:afterAutospacing="0" w:line="216" w:lineRule="auto"/>
                          <w:jc w:val="center"/>
                        </w:pPr>
                        <w:r w:rsidRPr="00854E12">
                          <w:rPr>
                            <w:rFonts w:asciiTheme="minorHAnsi" w:hAnsi="Calibri" w:cstheme="minorBidi"/>
                            <w:color w:val="000000" w:themeColor="dark1"/>
                            <w:kern w:val="24"/>
                            <w:sz w:val="22"/>
                            <w:szCs w:val="22"/>
                          </w:rPr>
                          <w:t>*</w:t>
                        </w:r>
                        <w:r w:rsidRPr="00854E12">
                          <w:rPr>
                            <w:rFonts w:asciiTheme="minorHAnsi" w:hAnsi="Calibri" w:cstheme="minorBidi"/>
                            <w:i/>
                            <w:iCs/>
                            <w:color w:val="000000" w:themeColor="dark1"/>
                            <w:kern w:val="24"/>
                            <w:sz w:val="22"/>
                            <w:szCs w:val="22"/>
                          </w:rPr>
                          <w:t xml:space="preserve">However, these new homes </w:t>
                        </w:r>
                        <w:hyperlink r:id="rId60" w:history="1">
                          <w:r w:rsidRPr="00854E12">
                            <w:rPr>
                              <w:rStyle w:val="Hyperlink"/>
                              <w:rFonts w:asciiTheme="minorHAnsi" w:hAnsi="Calibri" w:cstheme="minorBidi"/>
                              <w:i/>
                              <w:iCs/>
                              <w:color w:val="000000" w:themeColor="dark1"/>
                              <w:kern w:val="24"/>
                              <w:sz w:val="22"/>
                              <w:szCs w:val="22"/>
                            </w:rPr>
                            <w:t>will not offset the 235,000 affordable home deficit</w:t>
                          </w:r>
                        </w:hyperlink>
                        <w:r w:rsidRPr="00854E12">
                          <w:rPr>
                            <w:rFonts w:asciiTheme="minorHAnsi" w:hAnsi="Calibri" w:cstheme="minorBidi"/>
                            <w:i/>
                            <w:iCs/>
                            <w:color w:val="000000" w:themeColor="dark1"/>
                            <w:kern w:val="24"/>
                            <w:sz w:val="22"/>
                            <w:szCs w:val="22"/>
                          </w:rPr>
                          <w:t xml:space="preserve"> due to the 2017 tax reform bill </w:t>
                        </w:r>
                      </w:p>
                    </w:txbxContent>
                  </v:textbox>
                </v:shape>
                <w10:wrap anchorx="margin"/>
              </v:group>
            </w:pict>
          </mc:Fallback>
        </mc:AlternateContent>
      </w:r>
    </w:p>
    <w:p w14:paraId="577A51F6" w14:textId="7DEF5EDD" w:rsidR="00854E12" w:rsidRDefault="00854E12" w:rsidP="00854E12">
      <w:pPr>
        <w:pStyle w:val="paragraph"/>
        <w:spacing w:after="120" w:line="276" w:lineRule="auto"/>
        <w:ind w:left="720"/>
        <w:textAlignment w:val="baseline"/>
        <w:rPr>
          <w:rFonts w:ascii="Arial" w:eastAsia="Arial" w:hAnsi="Arial" w:cs="Arial"/>
          <w:sz w:val="22"/>
          <w:szCs w:val="22"/>
        </w:rPr>
      </w:pPr>
    </w:p>
    <w:p w14:paraId="4A108C52" w14:textId="77E40685" w:rsidR="00854E12" w:rsidRDefault="00854E12" w:rsidP="00854E12">
      <w:pPr>
        <w:pStyle w:val="paragraph"/>
        <w:spacing w:after="120" w:line="276" w:lineRule="auto"/>
        <w:ind w:left="720"/>
        <w:textAlignment w:val="baseline"/>
        <w:rPr>
          <w:rFonts w:ascii="Arial" w:eastAsia="Arial" w:hAnsi="Arial" w:cs="Arial"/>
          <w:sz w:val="22"/>
          <w:szCs w:val="22"/>
        </w:rPr>
      </w:pPr>
    </w:p>
    <w:p w14:paraId="01DB0944" w14:textId="69281317" w:rsidR="00854E12" w:rsidRDefault="00854E12" w:rsidP="00854E12">
      <w:pPr>
        <w:pStyle w:val="paragraph"/>
        <w:spacing w:after="120" w:line="276" w:lineRule="auto"/>
        <w:ind w:left="720"/>
        <w:textAlignment w:val="baseline"/>
        <w:rPr>
          <w:rFonts w:ascii="Arial" w:eastAsia="Arial" w:hAnsi="Arial" w:cs="Arial"/>
          <w:sz w:val="22"/>
          <w:szCs w:val="22"/>
        </w:rPr>
      </w:pPr>
    </w:p>
    <w:p w14:paraId="3A7C9425" w14:textId="245C43A6"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noProof/>
        </w:rPr>
        <mc:AlternateContent>
          <mc:Choice Requires="wps">
            <w:drawing>
              <wp:anchor distT="0" distB="0" distL="114300" distR="114300" simplePos="0" relativeHeight="251717632" behindDoc="0" locked="0" layoutInCell="1" allowOverlap="1" wp14:anchorId="76B2A1F6" wp14:editId="6C4805B3">
                <wp:simplePos x="0" y="0"/>
                <wp:positionH relativeFrom="column">
                  <wp:posOffset>2552700</wp:posOffset>
                </wp:positionH>
                <wp:positionV relativeFrom="paragraph">
                  <wp:posOffset>10795</wp:posOffset>
                </wp:positionV>
                <wp:extent cx="1004570" cy="953770"/>
                <wp:effectExtent l="0" t="0" r="0" b="0"/>
                <wp:wrapNone/>
                <wp:docPr id="33" name="TextBox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004570" cy="953770"/>
                        </a:xfrm>
                        <a:prstGeom prst="rect">
                          <a:avLst/>
                        </a:prstGeom>
                        <a:noFill/>
                      </wps:spPr>
                      <wps:txbx>
                        <w:txbxContent>
                          <w:p w14:paraId="3E906CF1" w14:textId="77777777" w:rsidR="00601F98" w:rsidRDefault="00601F98" w:rsidP="00854E12">
                            <w:pPr>
                              <w:pStyle w:val="NormalWeb"/>
                              <w:spacing w:before="0" w:beforeAutospacing="0" w:after="0" w:afterAutospacing="0"/>
                            </w:pPr>
                            <w:r>
                              <w:rPr>
                                <w:rFonts w:asciiTheme="minorHAnsi" w:hAnsi="Calibri" w:cstheme="minorBidi"/>
                                <w:color w:val="000000" w:themeColor="text1"/>
                                <w:kern w:val="24"/>
                                <w:sz w:val="28"/>
                                <w:szCs w:val="28"/>
                              </w:rPr>
                              <w:t>Income- averaging provision included</w:t>
                            </w:r>
                          </w:p>
                        </w:txbxContent>
                      </wps:txbx>
                      <wps:bodyPr wrap="square" rtlCol="0">
                        <a:spAutoFit/>
                      </wps:bodyPr>
                    </wps:wsp>
                  </a:graphicData>
                </a:graphic>
              </wp:anchor>
            </w:drawing>
          </mc:Choice>
          <mc:Fallback>
            <w:pict>
              <v:shape w14:anchorId="76B2A1F6" id="TextBox 7" o:spid="_x0000_s1039" type="#_x0000_t202" style="position:absolute;left:0;text-align:left;margin-left:201pt;margin-top:.85pt;width:79.1pt;height:75.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" filled="f" stroked="f">
                <v:textbox style="mso-fit-shape-to-text:t">
                  <w:txbxContent>
                    <w:p w14:paraId="3E906CF1" w14:textId="77777777" w:rsidR="00601F98" w:rsidRDefault="00601F98" w:rsidP="00854E12">
                      <w:pPr>
                        <w:pStyle w:val="NormalWeb"/>
                        <w:spacing w:before="0" w:beforeAutospacing="0" w:after="0" w:afterAutospacing="0"/>
                      </w:pPr>
                      <w:r>
                        <w:rPr>
                          <w:rFonts w:asciiTheme="minorHAnsi" w:hAnsi="Calibri" w:cstheme="minorBidi"/>
                          <w:color w:val="000000" w:themeColor="text1"/>
                          <w:kern w:val="24"/>
                          <w:sz w:val="28"/>
                          <w:szCs w:val="28"/>
                        </w:rPr>
                        <w:t>Income- averaging provision included</w:t>
                      </w:r>
                    </w:p>
                  </w:txbxContent>
                </v:textbox>
              </v:shape>
            </w:pict>
          </mc:Fallback>
        </mc:AlternateContent>
      </w:r>
    </w:p>
    <w:p w14:paraId="7A62FD26" w14:textId="6E0B91AE" w:rsidR="00854E12" w:rsidRDefault="00854E12" w:rsidP="00854E12">
      <w:pPr>
        <w:pStyle w:val="paragraph"/>
        <w:spacing w:after="120" w:line="276" w:lineRule="auto"/>
        <w:ind w:left="720"/>
        <w:textAlignment w:val="baseline"/>
        <w:rPr>
          <w:rFonts w:ascii="Arial" w:eastAsia="Arial" w:hAnsi="Arial" w:cs="Arial"/>
          <w:sz w:val="22"/>
          <w:szCs w:val="22"/>
        </w:rPr>
      </w:pPr>
    </w:p>
    <w:p w14:paraId="23F9ADC1" w14:textId="77777777" w:rsidR="00854E12" w:rsidRDefault="00854E12" w:rsidP="00854E12">
      <w:pPr>
        <w:pStyle w:val="paragraph"/>
        <w:spacing w:after="120" w:line="276" w:lineRule="auto"/>
        <w:ind w:left="720"/>
        <w:textAlignment w:val="baseline"/>
        <w:rPr>
          <w:rFonts w:ascii="Arial" w:eastAsia="Arial" w:hAnsi="Arial" w:cs="Arial"/>
          <w:sz w:val="22"/>
          <w:szCs w:val="22"/>
        </w:rPr>
      </w:pPr>
    </w:p>
    <w:p w14:paraId="0C1F0DAB" w14:textId="38D9BE65" w:rsidR="00854E12" w:rsidRDefault="00854E12" w:rsidP="00854E12">
      <w:pPr>
        <w:pStyle w:val="paragraph"/>
        <w:spacing w:after="120" w:line="276" w:lineRule="auto"/>
        <w:ind w:left="720"/>
        <w:textAlignment w:val="baseline"/>
        <w:rPr>
          <w:rFonts w:ascii="Arial" w:eastAsia="Arial" w:hAnsi="Arial" w:cs="Arial"/>
          <w:sz w:val="22"/>
          <w:szCs w:val="22"/>
        </w:rPr>
      </w:pPr>
    </w:p>
    <w:p w14:paraId="5E159957" w14:textId="2C55398D" w:rsidR="00854E12" w:rsidRDefault="00854E12" w:rsidP="00854E12">
      <w:pPr>
        <w:pStyle w:val="paragraph"/>
        <w:spacing w:after="120" w:line="276" w:lineRule="auto"/>
        <w:ind w:left="720"/>
        <w:textAlignment w:val="baseline"/>
        <w:rPr>
          <w:rFonts w:ascii="Arial" w:eastAsia="Arial" w:hAnsi="Arial" w:cs="Arial"/>
        </w:rPr>
      </w:pPr>
    </w:p>
    <w:p w14:paraId="4443D206" w14:textId="44D7D34C" w:rsidR="00854E12" w:rsidRDefault="00854E12" w:rsidP="00854E12">
      <w:pPr>
        <w:pStyle w:val="paragraph"/>
        <w:spacing w:after="120" w:line="276" w:lineRule="auto"/>
        <w:ind w:left="720"/>
        <w:textAlignment w:val="baseline"/>
        <w:rPr>
          <w:rFonts w:ascii="Arial" w:eastAsia="Arial" w:hAnsi="Arial" w:cs="Arial"/>
        </w:rPr>
      </w:pPr>
    </w:p>
    <w:p w14:paraId="3CF0D575" w14:textId="3565B9EA" w:rsidR="00854E12" w:rsidRDefault="00854E12" w:rsidP="00854E12">
      <w:pPr>
        <w:pStyle w:val="paragraph"/>
        <w:spacing w:after="120" w:line="276" w:lineRule="auto"/>
        <w:ind w:left="720"/>
        <w:textAlignment w:val="baseline"/>
        <w:rPr>
          <w:rFonts w:ascii="Arial" w:eastAsia="Arial" w:hAnsi="Arial" w:cs="Arial"/>
        </w:rPr>
      </w:pPr>
    </w:p>
    <w:p w14:paraId="07F9A4CD" w14:textId="77777777" w:rsidR="00854E12" w:rsidRDefault="00854E12" w:rsidP="00854E12">
      <w:pPr>
        <w:pStyle w:val="paragraph"/>
        <w:spacing w:after="120" w:line="276" w:lineRule="auto"/>
        <w:ind w:left="720"/>
        <w:textAlignment w:val="baseline"/>
        <w:rPr>
          <w:rFonts w:ascii="Arial" w:eastAsia="Arial" w:hAnsi="Arial" w:cs="Arial"/>
        </w:rPr>
      </w:pPr>
    </w:p>
    <w:p w14:paraId="4DF3144E" w14:textId="599AD7F9" w:rsidR="00854E12" w:rsidRDefault="00854E12" w:rsidP="00854E12">
      <w:pPr>
        <w:pStyle w:val="paragraph"/>
        <w:spacing w:after="120" w:line="276" w:lineRule="auto"/>
        <w:ind w:left="720"/>
        <w:textAlignment w:val="baseline"/>
        <w:rPr>
          <w:rFonts w:ascii="Arial" w:eastAsia="Arial" w:hAnsi="Arial" w:cs="Arial"/>
        </w:rPr>
      </w:pPr>
    </w:p>
    <w:p w14:paraId="2C4BF3C9" w14:textId="376FBFC6"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While the FY 18 Omnibus represents a step in the right direction in increasing support for affordable housing, more funding is needed to address the affordable housing crisis. Additionally, the appropriations for affordable housing in the Omnibus don’t fully offset the da</w:t>
      </w:r>
      <w:r w:rsidR="00BA5109">
        <w:rPr>
          <w:rFonts w:ascii="Arial" w:eastAsia="Arial" w:hAnsi="Arial" w:cs="Arial"/>
          <w:sz w:val="22"/>
          <w:szCs w:val="22"/>
        </w:rPr>
        <w:t>mage done by the 2017 tax bill.</w:t>
      </w:r>
      <w:r w:rsidR="00BA5109">
        <w:rPr>
          <w:rStyle w:val="FootnoteReference"/>
          <w:rFonts w:ascii="Arial" w:eastAsia="Arial" w:hAnsi="Arial" w:cs="Arial"/>
          <w:sz w:val="22"/>
          <w:szCs w:val="22"/>
        </w:rPr>
        <w:footnoteReference w:id="77"/>
      </w:r>
    </w:p>
    <w:p w14:paraId="4AEACBD3" w14:textId="055EA2A3" w:rsidR="00854E12" w:rsidRDefault="00854E12" w:rsidP="00854E12">
      <w:pPr>
        <w:pStyle w:val="paragraph"/>
        <w:numPr>
          <w:ilvl w:val="0"/>
          <w:numId w:val="6"/>
        </w:numPr>
        <w:spacing w:after="120" w:line="276" w:lineRule="auto"/>
        <w:textAlignment w:val="baseline"/>
        <w:rPr>
          <w:rFonts w:ascii="Arial" w:eastAsia="Arial" w:hAnsi="Arial" w:cs="Arial"/>
          <w:sz w:val="22"/>
          <w:szCs w:val="22"/>
        </w:rPr>
      </w:pPr>
      <w:r w:rsidRPr="00854E12">
        <w:rPr>
          <w:rFonts w:ascii="Arial" w:eastAsia="Arial" w:hAnsi="Arial" w:cs="Arial"/>
          <w:b/>
          <w:sz w:val="22"/>
          <w:szCs w:val="22"/>
        </w:rPr>
        <w:t>Housing Choice Voucher Mobility Demonstration</w:t>
      </w:r>
      <w:r>
        <w:rPr>
          <w:rFonts w:ascii="Arial" w:eastAsia="Arial" w:hAnsi="Arial" w:cs="Arial"/>
          <w:b/>
          <w:sz w:val="22"/>
          <w:szCs w:val="22"/>
        </w:rPr>
        <w:t xml:space="preserve"> Act of 2018</w:t>
      </w:r>
      <w:r w:rsidRPr="00854E12">
        <w:rPr>
          <w:rFonts w:ascii="Arial" w:eastAsia="Arial" w:hAnsi="Arial" w:cs="Arial"/>
          <w:b/>
          <w:sz w:val="22"/>
          <w:szCs w:val="22"/>
        </w:rPr>
        <w:t>:</w:t>
      </w:r>
      <w:r>
        <w:rPr>
          <w:rFonts w:ascii="Arial" w:eastAsia="Arial" w:hAnsi="Arial" w:cs="Arial"/>
          <w:sz w:val="22"/>
          <w:szCs w:val="22"/>
        </w:rPr>
        <w:t xml:space="preserve"> </w:t>
      </w:r>
      <w:r w:rsidRPr="00854E12">
        <w:rPr>
          <w:rFonts w:ascii="Arial" w:eastAsia="Arial" w:hAnsi="Arial" w:cs="Arial"/>
          <w:sz w:val="22"/>
          <w:szCs w:val="22"/>
        </w:rPr>
        <w:t xml:space="preserve">On July 10th, 2018, the House passed the </w:t>
      </w:r>
      <w:hyperlink r:id="rId61" w:history="1">
        <w:r w:rsidRPr="00CD51D9">
          <w:rPr>
            <w:rStyle w:val="Hyperlink"/>
            <w:rFonts w:ascii="Arial" w:eastAsia="Arial" w:hAnsi="Arial" w:cs="Arial"/>
            <w:sz w:val="22"/>
            <w:szCs w:val="22"/>
          </w:rPr>
          <w:t>Housing Choice Voucher Mobility Demonstration Act</w:t>
        </w:r>
      </w:hyperlink>
      <w:r w:rsidRPr="00854E12">
        <w:rPr>
          <w:rFonts w:ascii="Arial" w:eastAsia="Arial" w:hAnsi="Arial" w:cs="Arial"/>
          <w:sz w:val="22"/>
          <w:szCs w:val="22"/>
        </w:rPr>
        <w:t xml:space="preserve"> (H.R. 5793) with an overwhelming majority. Introduced by Rep. Sean Duffy (R-WI) and Rep. Emanuel Cleaver (D-MO), the proposed bill would enable state public housing authorities (PHAs) to provide housing search assistance and more supportive services to voucher holders who want to move to low-poverty areas as well as increase recruitment of landlords to participate in voucher programs. </w:t>
      </w:r>
    </w:p>
    <w:p w14:paraId="098E618E" w14:textId="77777777"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 xml:space="preserve">The House Appropriations Committee included $50 million in funding for the demonstration in its FY 19 spending bill. This funding would create 2,000 housing vouchers for families with children participating in the voucher program and provide $30 million to state PHAs to provide housing mobility services. </w:t>
      </w:r>
    </w:p>
    <w:p w14:paraId="65C89CB0" w14:textId="409CABF8"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Earlier in May the Senate introduced a similar bill (</w:t>
      </w:r>
      <w:hyperlink r:id="rId62" w:history="1">
        <w:r w:rsidRPr="00CD51D9">
          <w:rPr>
            <w:rStyle w:val="Hyperlink"/>
            <w:rFonts w:ascii="Arial" w:eastAsia="Arial" w:hAnsi="Arial" w:cs="Arial"/>
            <w:sz w:val="22"/>
            <w:szCs w:val="22"/>
          </w:rPr>
          <w:t>S. 2945</w:t>
        </w:r>
      </w:hyperlink>
      <w:r w:rsidRPr="00854E12">
        <w:rPr>
          <w:rFonts w:ascii="Arial" w:eastAsia="Arial" w:hAnsi="Arial" w:cs="Arial"/>
          <w:sz w:val="22"/>
          <w:szCs w:val="22"/>
        </w:rPr>
        <w:t>) led by Senators Todd Young (R-IN) and Chris Van Hollen (D-MD) which requires public housing authorities to create a plan for helping low-income families move to higher opportunity/low-poverty areas and authorizes the Department of Housing and Urban Development (HUD) to provide funding for mobility voucher demonstrations.</w:t>
      </w:r>
      <w:r w:rsidR="00CD51D9">
        <w:rPr>
          <w:rStyle w:val="FootnoteReference"/>
          <w:rFonts w:ascii="Arial" w:eastAsia="Arial" w:hAnsi="Arial" w:cs="Arial"/>
          <w:sz w:val="22"/>
          <w:szCs w:val="22"/>
        </w:rPr>
        <w:footnoteReference w:id="78"/>
      </w:r>
      <w:r w:rsidRPr="00854E12">
        <w:rPr>
          <w:rFonts w:ascii="Arial" w:eastAsia="Arial" w:hAnsi="Arial" w:cs="Arial"/>
          <w:sz w:val="22"/>
          <w:szCs w:val="22"/>
        </w:rPr>
        <w:t xml:space="preserve">  </w:t>
      </w:r>
    </w:p>
    <w:p w14:paraId="557E0CE7" w14:textId="0A04E833" w:rsidR="00E56235" w:rsidRPr="00601F98" w:rsidRDefault="00E56235" w:rsidP="00601F98">
      <w:pPr>
        <w:pStyle w:val="ListParagraph"/>
        <w:numPr>
          <w:ilvl w:val="0"/>
          <w:numId w:val="6"/>
        </w:numPr>
        <w:rPr>
          <w:rFonts w:ascii="Arial" w:eastAsia="Times New Roman" w:hAnsi="Arial" w:cs="Arial"/>
          <w:sz w:val="23"/>
          <w:szCs w:val="23"/>
        </w:rPr>
      </w:pPr>
      <w:r w:rsidRPr="00601F98">
        <w:rPr>
          <w:rFonts w:ascii="Arial" w:eastAsia="Arial" w:hAnsi="Arial" w:cs="Arial"/>
          <w:b/>
        </w:rPr>
        <w:t xml:space="preserve">Rent Relief Bills: </w:t>
      </w:r>
      <w:r w:rsidRPr="00601F98">
        <w:rPr>
          <w:rFonts w:ascii="Arial" w:eastAsia="Arial" w:hAnsi="Arial" w:cs="Arial"/>
        </w:rPr>
        <w:t>On July 19</w:t>
      </w:r>
      <w:r w:rsidRPr="00601F98">
        <w:rPr>
          <w:rFonts w:ascii="Arial" w:eastAsia="Arial" w:hAnsi="Arial" w:cs="Arial"/>
          <w:vertAlign w:val="superscript"/>
        </w:rPr>
        <w:t>th</w:t>
      </w:r>
      <w:r w:rsidRPr="00601F98">
        <w:rPr>
          <w:rFonts w:ascii="Arial" w:eastAsia="Arial" w:hAnsi="Arial" w:cs="Arial"/>
        </w:rPr>
        <w:t>, Senator Kamala Harris (D-CA)</w:t>
      </w:r>
      <w:r w:rsidRPr="00601F98">
        <w:rPr>
          <w:rFonts w:ascii="Arial" w:hAnsi="Arial" w:cs="Arial"/>
          <w:sz w:val="23"/>
          <w:szCs w:val="23"/>
        </w:rPr>
        <w:t xml:space="preserve"> introduced a rent relief bill</w:t>
      </w:r>
      <w:r w:rsidR="00601F98">
        <w:rPr>
          <w:rStyle w:val="FootnoteReference"/>
          <w:rFonts w:ascii="Arial" w:hAnsi="Arial" w:cs="Arial"/>
          <w:sz w:val="23"/>
          <w:szCs w:val="23"/>
        </w:rPr>
        <w:footnoteReference w:id="79"/>
      </w:r>
      <w:r w:rsidRPr="00601F98">
        <w:rPr>
          <w:rFonts w:ascii="Arial" w:hAnsi="Arial" w:cs="Arial"/>
          <w:sz w:val="23"/>
          <w:szCs w:val="23"/>
        </w:rPr>
        <w:t xml:space="preserve"> (</w:t>
      </w:r>
      <w:hyperlink r:id="rId63" w:history="1">
        <w:r w:rsidRPr="00601F98">
          <w:rPr>
            <w:rStyle w:val="Hyperlink"/>
            <w:rFonts w:ascii="Arial" w:hAnsi="Arial" w:cs="Arial"/>
            <w:sz w:val="23"/>
            <w:szCs w:val="23"/>
          </w:rPr>
          <w:t>S.3250</w:t>
        </w:r>
      </w:hyperlink>
      <w:r w:rsidRPr="00601F98">
        <w:rPr>
          <w:rFonts w:ascii="Arial" w:hAnsi="Arial" w:cs="Arial"/>
          <w:sz w:val="23"/>
          <w:szCs w:val="23"/>
        </w:rPr>
        <w:t xml:space="preserve">) </w:t>
      </w:r>
      <w:r w:rsidR="00601F98">
        <w:rPr>
          <w:rFonts w:ascii="Arial" w:hAnsi="Arial" w:cs="Arial"/>
          <w:sz w:val="23"/>
          <w:szCs w:val="23"/>
        </w:rPr>
        <w:t xml:space="preserve">that </w:t>
      </w:r>
      <w:r w:rsidRPr="00601F98">
        <w:rPr>
          <w:rFonts w:ascii="Arial" w:hAnsi="Arial" w:cs="Arial"/>
          <w:sz w:val="23"/>
          <w:szCs w:val="23"/>
        </w:rPr>
        <w:t xml:space="preserve">would provide 13.3 million Americans with refundable tax credits to meet the high cost of rent across many of the nation's cities. </w:t>
      </w:r>
      <w:r w:rsidR="00601F98" w:rsidRPr="00601F98">
        <w:rPr>
          <w:rFonts w:ascii="Arial" w:hAnsi="Arial" w:cs="Arial"/>
          <w:sz w:val="23"/>
          <w:szCs w:val="23"/>
        </w:rPr>
        <w:t xml:space="preserve">Harris’ bill would provide </w:t>
      </w:r>
      <w:r w:rsidR="00601F98" w:rsidRPr="00601F98">
        <w:rPr>
          <w:rFonts w:ascii="Arial" w:eastAsia="Times New Roman" w:hAnsi="Arial" w:cs="Arial"/>
          <w:sz w:val="23"/>
          <w:szCs w:val="23"/>
        </w:rPr>
        <w:t>tax credits to renters who earn less than $100,000 a year and spend more than 30 percent of their income on r</w:t>
      </w:r>
      <w:r w:rsidR="00601F98">
        <w:rPr>
          <w:rFonts w:ascii="Arial" w:eastAsia="Times New Roman" w:hAnsi="Arial" w:cs="Arial"/>
          <w:sz w:val="23"/>
          <w:szCs w:val="23"/>
        </w:rPr>
        <w:t xml:space="preserve">ent (which includes utilities). The tax credits would be refundable, </w:t>
      </w:r>
      <w:r w:rsidR="00601F98" w:rsidRPr="00601F98">
        <w:rPr>
          <w:rFonts w:ascii="Arial" w:eastAsia="Times New Roman" w:hAnsi="Arial" w:cs="Arial"/>
          <w:sz w:val="23"/>
          <w:szCs w:val="23"/>
        </w:rPr>
        <w:t>meaning</w:t>
      </w:r>
      <w:r w:rsidR="00601F98">
        <w:rPr>
          <w:rFonts w:ascii="Arial" w:eastAsia="Times New Roman" w:hAnsi="Arial" w:cs="Arial"/>
          <w:sz w:val="23"/>
          <w:szCs w:val="23"/>
        </w:rPr>
        <w:t xml:space="preserve"> taxpayers would</w:t>
      </w:r>
      <w:r w:rsidR="00601F98" w:rsidRPr="00601F98">
        <w:rPr>
          <w:rFonts w:ascii="Arial" w:eastAsia="Times New Roman" w:hAnsi="Arial" w:cs="Arial"/>
          <w:sz w:val="23"/>
          <w:szCs w:val="23"/>
        </w:rPr>
        <w:t xml:space="preserve"> receive payments even if thei</w:t>
      </w:r>
      <w:r w:rsidR="00601F98">
        <w:rPr>
          <w:rFonts w:ascii="Arial" w:eastAsia="Times New Roman" w:hAnsi="Arial" w:cs="Arial"/>
          <w:sz w:val="23"/>
          <w:szCs w:val="23"/>
        </w:rPr>
        <w:t>r tax liability is $0, and those living in cities</w:t>
      </w:r>
      <w:r w:rsidR="00601F98" w:rsidRPr="00601F98">
        <w:rPr>
          <w:rFonts w:ascii="Arial" w:eastAsia="Times New Roman" w:hAnsi="Arial" w:cs="Arial"/>
          <w:sz w:val="23"/>
          <w:szCs w:val="23"/>
        </w:rPr>
        <w:t xml:space="preserve"> </w:t>
      </w:r>
      <w:r w:rsidR="00601F98">
        <w:rPr>
          <w:rFonts w:ascii="Arial" w:eastAsia="Times New Roman" w:hAnsi="Arial" w:cs="Arial"/>
          <w:sz w:val="23"/>
          <w:szCs w:val="23"/>
        </w:rPr>
        <w:t xml:space="preserve">like San Francisco with particularly high housing costs </w:t>
      </w:r>
      <w:r w:rsidR="00601F98" w:rsidRPr="00601F98">
        <w:rPr>
          <w:rFonts w:ascii="Arial" w:eastAsia="Times New Roman" w:hAnsi="Arial" w:cs="Arial"/>
          <w:sz w:val="23"/>
          <w:szCs w:val="23"/>
        </w:rPr>
        <w:t>could earn up to $125,000 and still receive the credit.</w:t>
      </w:r>
      <w:r w:rsidR="00601F98">
        <w:rPr>
          <w:rFonts w:ascii="Arial" w:eastAsia="Times New Roman" w:hAnsi="Arial" w:cs="Arial"/>
          <w:sz w:val="23"/>
          <w:szCs w:val="23"/>
        </w:rPr>
        <w:t xml:space="preserve"> Additionally, t</w:t>
      </w:r>
      <w:r w:rsidR="00601F98" w:rsidRPr="00601F98">
        <w:rPr>
          <w:rFonts w:ascii="Arial" w:eastAsia="Times New Roman" w:hAnsi="Arial" w:cs="Arial"/>
          <w:sz w:val="23"/>
          <w:szCs w:val="23"/>
        </w:rPr>
        <w:t xml:space="preserve">he size of the benefit increases for poorer families and decreases </w:t>
      </w:r>
      <w:r w:rsidR="00601F98">
        <w:rPr>
          <w:rFonts w:ascii="Arial" w:eastAsia="Times New Roman" w:hAnsi="Arial" w:cs="Arial"/>
          <w:sz w:val="23"/>
          <w:szCs w:val="23"/>
        </w:rPr>
        <w:t xml:space="preserve">for families </w:t>
      </w:r>
      <w:r w:rsidR="00601F98" w:rsidRPr="00601F98">
        <w:rPr>
          <w:rFonts w:ascii="Arial" w:eastAsia="Times New Roman" w:hAnsi="Arial" w:cs="Arial"/>
          <w:sz w:val="23"/>
          <w:szCs w:val="23"/>
        </w:rPr>
        <w:t xml:space="preserve">higher up the income distribution. </w:t>
      </w:r>
      <w:r w:rsidRPr="00601F98">
        <w:rPr>
          <w:rFonts w:ascii="Arial" w:hAnsi="Arial" w:cs="Arial"/>
          <w:sz w:val="23"/>
          <w:szCs w:val="23"/>
        </w:rPr>
        <w:t xml:space="preserve">A similar rent relief </w:t>
      </w:r>
      <w:r w:rsidR="00601F98">
        <w:rPr>
          <w:rFonts w:ascii="Arial" w:hAnsi="Arial" w:cs="Arial"/>
          <w:sz w:val="23"/>
          <w:szCs w:val="23"/>
        </w:rPr>
        <w:t xml:space="preserve">bill </w:t>
      </w:r>
      <w:r w:rsidRPr="00601F98">
        <w:rPr>
          <w:rFonts w:ascii="Arial" w:hAnsi="Arial" w:cs="Arial"/>
          <w:sz w:val="23"/>
          <w:szCs w:val="23"/>
        </w:rPr>
        <w:t xml:space="preserve">was introduced </w:t>
      </w:r>
      <w:r w:rsidR="00601F98" w:rsidRPr="00601F98">
        <w:rPr>
          <w:rFonts w:ascii="Arial" w:hAnsi="Arial" w:cs="Arial"/>
          <w:sz w:val="23"/>
          <w:szCs w:val="23"/>
        </w:rPr>
        <w:t xml:space="preserve">in the House </w:t>
      </w:r>
      <w:r w:rsidRPr="00601F98">
        <w:rPr>
          <w:rFonts w:ascii="Arial" w:hAnsi="Arial" w:cs="Arial"/>
          <w:sz w:val="23"/>
          <w:szCs w:val="23"/>
        </w:rPr>
        <w:t>last year by Rep. Joseph Crowley (D-NY) (</w:t>
      </w:r>
      <w:hyperlink r:id="rId64" w:history="1">
        <w:r w:rsidRPr="00601F98">
          <w:rPr>
            <w:rStyle w:val="Hyperlink"/>
            <w:rFonts w:ascii="Arial" w:hAnsi="Arial" w:cs="Arial"/>
            <w:sz w:val="23"/>
            <w:szCs w:val="23"/>
          </w:rPr>
          <w:t>H.R. 3670)</w:t>
        </w:r>
      </w:hyperlink>
      <w:r w:rsidR="00601F98">
        <w:rPr>
          <w:rFonts w:ascii="Arial" w:hAnsi="Arial" w:cs="Arial"/>
          <w:sz w:val="23"/>
          <w:szCs w:val="23"/>
        </w:rPr>
        <w:t xml:space="preserve"> which Harris’ bill expands on. </w:t>
      </w:r>
    </w:p>
    <w:p w14:paraId="66341FEB" w14:textId="0253B0F7" w:rsidR="00854E12" w:rsidRPr="00854E12" w:rsidRDefault="00854E12" w:rsidP="00854E12">
      <w:pPr>
        <w:pStyle w:val="paragraph"/>
        <w:numPr>
          <w:ilvl w:val="0"/>
          <w:numId w:val="6"/>
        </w:numPr>
        <w:spacing w:after="120" w:line="276" w:lineRule="auto"/>
        <w:textAlignment w:val="baseline"/>
        <w:rPr>
          <w:rFonts w:ascii="Arial" w:eastAsia="Arial" w:hAnsi="Arial" w:cs="Arial"/>
          <w:sz w:val="22"/>
          <w:szCs w:val="22"/>
        </w:rPr>
      </w:pPr>
      <w:r w:rsidRPr="00854E12">
        <w:rPr>
          <w:rFonts w:ascii="Arial" w:eastAsia="Arial" w:hAnsi="Arial" w:cs="Arial"/>
          <w:b/>
          <w:sz w:val="22"/>
          <w:szCs w:val="22"/>
        </w:rPr>
        <w:lastRenderedPageBreak/>
        <w:t>The Credit Access and Inclusion Act of 2018:</w:t>
      </w:r>
      <w:r>
        <w:rPr>
          <w:rFonts w:ascii="Arial" w:eastAsia="Arial" w:hAnsi="Arial" w:cs="Arial"/>
          <w:sz w:val="22"/>
          <w:szCs w:val="22"/>
        </w:rPr>
        <w:t xml:space="preserve"> </w:t>
      </w:r>
      <w:r w:rsidRPr="00854E12">
        <w:rPr>
          <w:rFonts w:ascii="Arial" w:eastAsia="Arial" w:hAnsi="Arial" w:cs="Arial"/>
          <w:sz w:val="22"/>
          <w:szCs w:val="22"/>
        </w:rPr>
        <w:t xml:space="preserve">In June, the House unanimously passed the </w:t>
      </w:r>
      <w:hyperlink r:id="rId65" w:history="1">
        <w:r w:rsidRPr="00CD51D9">
          <w:rPr>
            <w:rStyle w:val="Hyperlink"/>
            <w:rFonts w:ascii="Arial" w:eastAsia="Arial" w:hAnsi="Arial" w:cs="Arial"/>
            <w:sz w:val="22"/>
            <w:szCs w:val="22"/>
          </w:rPr>
          <w:t>Credit Access and Inclusion Act</w:t>
        </w:r>
      </w:hyperlink>
      <w:r w:rsidRPr="00854E12">
        <w:rPr>
          <w:rFonts w:ascii="Arial" w:eastAsia="Arial" w:hAnsi="Arial" w:cs="Arial"/>
          <w:sz w:val="22"/>
          <w:szCs w:val="22"/>
        </w:rPr>
        <w:t xml:space="preserve"> (H.R. 435) introduced by Rep. Keith Ellison (D-MN). The bill would encourage increased reporting of alternative payments such as rent and utility bills to the credit bureaus and reduces barriers to having rent payments recorded for tenants who receive housing assistance from HUD. The bill helps equalize access to credit building for people of color and low-income users who are less likely to benefit from traditional credit score measures which typically include data such as mor</w:t>
      </w:r>
      <w:r>
        <w:rPr>
          <w:rFonts w:ascii="Arial" w:eastAsia="Arial" w:hAnsi="Arial" w:cs="Arial"/>
          <w:sz w:val="22"/>
          <w:szCs w:val="22"/>
        </w:rPr>
        <w:t xml:space="preserve">tgage and credit card payments. </w:t>
      </w:r>
      <w:r w:rsidRPr="00854E12">
        <w:rPr>
          <w:rFonts w:ascii="Arial" w:eastAsia="Arial" w:hAnsi="Arial" w:cs="Arial"/>
          <w:sz w:val="22"/>
          <w:szCs w:val="22"/>
        </w:rPr>
        <w:t>A similar Senate bill (</w:t>
      </w:r>
      <w:hyperlink r:id="rId66" w:history="1">
        <w:r w:rsidRPr="00CD51D9">
          <w:rPr>
            <w:rStyle w:val="Hyperlink"/>
            <w:rFonts w:ascii="Arial" w:eastAsia="Arial" w:hAnsi="Arial" w:cs="Arial"/>
            <w:sz w:val="22"/>
            <w:szCs w:val="22"/>
          </w:rPr>
          <w:t>S. 3040</w:t>
        </w:r>
      </w:hyperlink>
      <w:r w:rsidRPr="00854E12">
        <w:rPr>
          <w:rFonts w:ascii="Arial" w:eastAsia="Arial" w:hAnsi="Arial" w:cs="Arial"/>
          <w:sz w:val="22"/>
          <w:szCs w:val="22"/>
        </w:rPr>
        <w:t xml:space="preserve">) was introduced by Sen. Tim Scott (R-SC) and Sen. Joe Manchin (D-WV). </w:t>
      </w:r>
    </w:p>
    <w:p w14:paraId="7691C9B6" w14:textId="77777777"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Why a credit access and inclusion act?</w:t>
      </w:r>
    </w:p>
    <w:p w14:paraId="432D9FDB" w14:textId="77777777" w:rsidR="00854E12" w:rsidRDefault="00854E12" w:rsidP="00854E12">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 xml:space="preserve">A person’s credit report and score can impact their financial health and opportunity to make major purchases such as a home or car. Having a low credit score can significantly increase the cost of taking out loans, and negatively impact a person’s employment and rental housing opportunities. People of color and low-income individuals are systematically disadvantaged by the traditional credit scoring system as they are less likely to have mortgage or credit card payments which get factored into credit scores. </w:t>
      </w:r>
    </w:p>
    <w:p w14:paraId="7FAA0144" w14:textId="5FB8B092" w:rsidR="00854E12" w:rsidRDefault="00854E12" w:rsidP="00BA5109">
      <w:pPr>
        <w:pStyle w:val="paragraph"/>
        <w:spacing w:after="120" w:line="276" w:lineRule="auto"/>
        <w:ind w:left="720"/>
        <w:textAlignment w:val="baseline"/>
        <w:rPr>
          <w:rFonts w:ascii="Arial" w:eastAsia="Arial" w:hAnsi="Arial" w:cs="Arial"/>
          <w:sz w:val="22"/>
          <w:szCs w:val="22"/>
        </w:rPr>
      </w:pPr>
      <w:r w:rsidRPr="00854E12">
        <w:rPr>
          <w:rFonts w:ascii="Arial" w:eastAsia="Arial" w:hAnsi="Arial" w:cs="Arial"/>
          <w:sz w:val="22"/>
          <w:szCs w:val="22"/>
        </w:rPr>
        <w:t>Conversely, rent, utility and cellphone payments are not included in traditional credit scores which people of color and those with low-incomes are more likely to make. The racial wealth gap impli</w:t>
      </w:r>
      <w:r>
        <w:rPr>
          <w:rFonts w:ascii="Arial" w:eastAsia="Arial" w:hAnsi="Arial" w:cs="Arial"/>
          <w:sz w:val="22"/>
          <w:szCs w:val="22"/>
        </w:rPr>
        <w:t>cations of who tends to benefit</w:t>
      </w:r>
      <w:r w:rsidRPr="00854E12">
        <w:rPr>
          <w:rFonts w:ascii="Arial" w:eastAsia="Arial" w:hAnsi="Arial" w:cs="Arial"/>
          <w:sz w:val="22"/>
          <w:szCs w:val="22"/>
        </w:rPr>
        <w:t xml:space="preserve"> from credit scores and reporting have led to calls for including alternative data such as rent and utility payments into calculating credit scores.</w:t>
      </w:r>
      <w:r w:rsidR="00CD51D9">
        <w:rPr>
          <w:rStyle w:val="FootnoteReference"/>
          <w:rFonts w:ascii="Arial" w:eastAsia="Arial" w:hAnsi="Arial" w:cs="Arial"/>
          <w:sz w:val="22"/>
          <w:szCs w:val="22"/>
        </w:rPr>
        <w:footnoteReference w:id="80"/>
      </w:r>
    </w:p>
    <w:p w14:paraId="078647E9" w14:textId="476386AF" w:rsidR="00080DD7" w:rsidRPr="00080DD7" w:rsidRDefault="00080DD7" w:rsidP="00080DD7">
      <w:pPr>
        <w:pStyle w:val="paragraph"/>
        <w:spacing w:after="120" w:line="276" w:lineRule="auto"/>
        <w:ind w:left="720"/>
        <w:textAlignment w:val="baseline"/>
        <w:rPr>
          <w:rFonts w:ascii="Arial" w:eastAsia="Arial" w:hAnsi="Arial" w:cs="Arial"/>
          <w:sz w:val="22"/>
          <w:szCs w:val="22"/>
        </w:rPr>
      </w:pPr>
    </w:p>
    <w:p w14:paraId="119F21BD" w14:textId="77777777" w:rsidR="00F120BA" w:rsidRPr="003C2A19" w:rsidRDefault="00F120BA" w:rsidP="00F819AD">
      <w:pPr>
        <w:spacing w:after="120" w:line="276" w:lineRule="auto"/>
        <w:rPr>
          <w:rFonts w:ascii="Helvetica" w:hAnsi="Helvetica" w:cs="Helvetica"/>
        </w:rPr>
      </w:pPr>
    </w:p>
    <w:sectPr w:rsidR="00F120BA" w:rsidRPr="003C2A19" w:rsidSect="00873CF7">
      <w:headerReference w:type="default" r:id="rId67"/>
      <w:foot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DD461" w14:textId="77777777" w:rsidR="002C3CAF" w:rsidRDefault="002C3CAF" w:rsidP="00192EF6">
      <w:pPr>
        <w:spacing w:after="0" w:line="240" w:lineRule="auto"/>
      </w:pPr>
      <w:r>
        <w:separator/>
      </w:r>
    </w:p>
  </w:endnote>
  <w:endnote w:type="continuationSeparator" w:id="0">
    <w:p w14:paraId="516F1DEF" w14:textId="77777777" w:rsidR="002C3CAF" w:rsidRDefault="002C3CAF" w:rsidP="00192EF6">
      <w:pPr>
        <w:spacing w:after="0" w:line="240" w:lineRule="auto"/>
      </w:pPr>
      <w:r>
        <w:continuationSeparator/>
      </w:r>
    </w:p>
  </w:endnote>
  <w:endnote w:type="continuationNotice" w:id="1">
    <w:p w14:paraId="51188E08" w14:textId="77777777" w:rsidR="002C3CAF" w:rsidRDefault="002C3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ato Regular,Arial">
    <w:altName w:val="Segoe UI"/>
    <w:panose1 w:val="00000000000000000000"/>
    <w:charset w:val="00"/>
    <w:family w:val="roman"/>
    <w:notTrueType/>
    <w:pitch w:val="default"/>
  </w:font>
  <w:font w:name="Lato Regular">
    <w:altName w:val="Segoe UI"/>
    <w:charset w:val="00"/>
    <w:family w:val="auto"/>
    <w:pitch w:val="variable"/>
    <w:sig w:usb0="A00000AF" w:usb1="5000604B" w:usb2="00000000" w:usb3="00000000" w:csb0="00000093" w:csb1="00000000"/>
  </w:font>
  <w:font w:name="Helvetica">
    <w:altName w:val="Arial"/>
    <w:panose1 w:val="020B0604020202020204"/>
    <w:charset w:val="00"/>
    <w:family w:val="swiss"/>
    <w:pitch w:val="variable"/>
    <w:sig w:usb0="00000000"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Arial">
    <w:altName w:val="Arial"/>
    <w:panose1 w:val="00000000000000000000"/>
    <w:charset w:val="00"/>
    <w:family w:val="roman"/>
    <w:notTrueType/>
    <w:pitch w:val="default"/>
  </w:font>
  <w:font w:name="Helvetica,Times New Roman">
    <w:altName w:val="Arial"/>
    <w:panose1 w:val="00000000000000000000"/>
    <w:charset w:val="00"/>
    <w:family w:val="roman"/>
    <w:notTrueType/>
    <w:pitch w:val="default"/>
  </w:font>
  <w:font w:name="Arial,Times New Roman">
    <w:altName w:val="Arial"/>
    <w:panose1 w:val="00000000000000000000"/>
    <w:charset w:val="00"/>
    <w:family w:val="roman"/>
    <w:notTrueType/>
    <w:pitch w:val="default"/>
  </w:font>
  <w:font w:name="Helvetica,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B8EEC" w14:textId="7FEE78B2" w:rsidR="00601F98" w:rsidRDefault="00601F98" w:rsidP="003C2A19">
    <w:pPr>
      <w:pStyle w:val="Footer"/>
      <w:jc w:val="right"/>
    </w:pPr>
    <w:r>
      <w:rPr>
        <w:noProof/>
      </w:rPr>
      <w:drawing>
        <wp:inline distT="0" distB="0" distL="0" distR="6350" wp14:anchorId="7A994C5B" wp14:editId="66133D76">
          <wp:extent cx="794385" cy="419100"/>
          <wp:effectExtent l="0" t="0" r="0" b="0"/>
          <wp:docPr id="44" name="Picture 13" descr="P:\RESULTS 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descr="P:\RESULTS Templates\Logo.png"/>
                  <pic:cNvPicPr>
                    <a:picLocks noChangeAspect="1" noChangeArrowheads="1"/>
                  </pic:cNvPicPr>
                </pic:nvPicPr>
                <pic:blipFill>
                  <a:blip r:embed="rId1"/>
                  <a:stretch>
                    <a:fillRect/>
                  </a:stretch>
                </pic:blipFill>
                <pic:spPr bwMode="auto">
                  <a:xfrm>
                    <a:off x="0" y="0"/>
                    <a:ext cx="794385" cy="419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22F77" w14:textId="77777777" w:rsidR="002C3CAF" w:rsidRDefault="002C3CAF" w:rsidP="00192EF6">
      <w:pPr>
        <w:spacing w:after="0" w:line="240" w:lineRule="auto"/>
      </w:pPr>
      <w:r>
        <w:separator/>
      </w:r>
    </w:p>
  </w:footnote>
  <w:footnote w:type="continuationSeparator" w:id="0">
    <w:p w14:paraId="05EBD7EF" w14:textId="77777777" w:rsidR="002C3CAF" w:rsidRDefault="002C3CAF" w:rsidP="00192EF6">
      <w:pPr>
        <w:spacing w:after="0" w:line="240" w:lineRule="auto"/>
      </w:pPr>
      <w:r>
        <w:continuationSeparator/>
      </w:r>
    </w:p>
  </w:footnote>
  <w:footnote w:type="continuationNotice" w:id="1">
    <w:p w14:paraId="5D5691B6" w14:textId="77777777" w:rsidR="002C3CAF" w:rsidRDefault="002C3CAF">
      <w:pPr>
        <w:spacing w:after="0" w:line="240" w:lineRule="auto"/>
      </w:pPr>
    </w:p>
  </w:footnote>
  <w:footnote w:id="2">
    <w:p w14:paraId="29A87530" w14:textId="0E22277B" w:rsidR="00601F98" w:rsidRDefault="00601F98">
      <w:pPr>
        <w:pStyle w:val="FootnoteText"/>
      </w:pPr>
      <w:r>
        <w:rPr>
          <w:rStyle w:val="FootnoteReference"/>
        </w:rPr>
        <w:footnoteRef/>
      </w:r>
      <w:r>
        <w:t xml:space="preserve"> Gibson-Davis, C. and Percheski, C., </w:t>
      </w:r>
      <w:r w:rsidRPr="6EAB5542">
        <w:rPr>
          <w:i/>
        </w:rPr>
        <w:t>The New York Times:</w:t>
      </w:r>
      <w:r>
        <w:t xml:space="preserve"> “Why the Wealth Gap Hits Families the Hardest.” </w:t>
      </w:r>
      <w:hyperlink r:id="rId1" w:history="1">
        <w:r w:rsidRPr="000B22F2">
          <w:rPr>
            <w:rStyle w:val="Hyperlink"/>
          </w:rPr>
          <w:t>https://www.nytimes.com/2018/05/18/opinion/wealth-inequality-families-children-elderly.html</w:t>
        </w:r>
      </w:hyperlink>
    </w:p>
  </w:footnote>
  <w:footnote w:id="3">
    <w:p w14:paraId="28E18E0C" w14:textId="67DC4278" w:rsidR="00601F98" w:rsidRDefault="00601F98">
      <w:pPr>
        <w:pStyle w:val="FootnoteText"/>
      </w:pPr>
      <w:r>
        <w:rPr>
          <w:rStyle w:val="FootnoteReference"/>
        </w:rPr>
        <w:footnoteRef/>
      </w:r>
      <w:r>
        <w:t xml:space="preserve"> Prosperity Now, Assets and Opportunity Scorecard: “Asset Poverty Rate.” </w:t>
      </w:r>
      <w:hyperlink r:id="rId2" w:anchor="finance/outcome/asset-poverty-rate" w:history="1">
        <w:r w:rsidRPr="000B22F2">
          <w:rPr>
            <w:rStyle w:val="Hyperlink"/>
          </w:rPr>
          <w:t>http://scorecard.prosperitynow.org/data-by-issue#finance/outcome/asset-poverty-rate</w:t>
        </w:r>
      </w:hyperlink>
    </w:p>
  </w:footnote>
  <w:footnote w:id="4">
    <w:p w14:paraId="7C5BA86A" w14:textId="73169EC6" w:rsidR="00601F98" w:rsidRDefault="00601F98">
      <w:pPr>
        <w:pStyle w:val="FootnoteText"/>
      </w:pPr>
      <w:r>
        <w:rPr>
          <w:rStyle w:val="FootnoteReference"/>
        </w:rPr>
        <w:footnoteRef/>
      </w:r>
      <w:r>
        <w:t xml:space="preserve"> Ibid. </w:t>
      </w:r>
    </w:p>
  </w:footnote>
  <w:footnote w:id="5">
    <w:p w14:paraId="14C52F02" w14:textId="04E834C4" w:rsidR="00601F98" w:rsidRDefault="00601F98">
      <w:pPr>
        <w:pStyle w:val="FootnoteText"/>
      </w:pPr>
      <w:r>
        <w:rPr>
          <w:rStyle w:val="FootnoteReference"/>
        </w:rPr>
        <w:footnoteRef/>
      </w:r>
      <w:r>
        <w:t xml:space="preserve"> Prosperity Now Scorecard, “Could You Weather a Financial Crisis?” </w:t>
      </w:r>
      <w:hyperlink r:id="rId3" w:history="1">
        <w:r w:rsidRPr="00FB4205">
          <w:rPr>
            <w:rStyle w:val="Hyperlink"/>
          </w:rPr>
          <w:t>http://scorecard.prosperitynow.org/2016/calculator</w:t>
        </w:r>
      </w:hyperlink>
      <w:r>
        <w:t xml:space="preserve"> </w:t>
      </w:r>
    </w:p>
  </w:footnote>
  <w:footnote w:id="6">
    <w:p w14:paraId="32B92E86" w14:textId="1D5A7F86" w:rsidR="00601F98" w:rsidRDefault="00601F98">
      <w:pPr>
        <w:pStyle w:val="FootnoteText"/>
      </w:pPr>
      <w:r>
        <w:rPr>
          <w:rStyle w:val="FootnoteReference"/>
        </w:rPr>
        <w:footnoteRef/>
      </w:r>
      <w:r>
        <w:t xml:space="preserve"> Ibid. </w:t>
      </w:r>
    </w:p>
  </w:footnote>
  <w:footnote w:id="7">
    <w:p w14:paraId="38574391" w14:textId="43C00953" w:rsidR="00601F98" w:rsidRDefault="00601F98">
      <w:pPr>
        <w:pStyle w:val="FootnoteText"/>
      </w:pPr>
      <w:r>
        <w:rPr>
          <w:rStyle w:val="FootnoteReference"/>
        </w:rPr>
        <w:footnoteRef/>
      </w:r>
      <w:r>
        <w:t xml:space="preserve"> Ibid. </w:t>
      </w:r>
    </w:p>
  </w:footnote>
  <w:footnote w:id="8">
    <w:p w14:paraId="51EDA9DA" w14:textId="33DAF08D" w:rsidR="00601F98" w:rsidRDefault="00601F98">
      <w:pPr>
        <w:pStyle w:val="FootnoteText"/>
      </w:pPr>
      <w:r>
        <w:rPr>
          <w:rStyle w:val="FootnoteReference"/>
        </w:rPr>
        <w:footnoteRef/>
      </w:r>
      <w:r>
        <w:t xml:space="preserve"> Oxfam International: “Reward Work, Not Wealth.” </w:t>
      </w:r>
      <w:hyperlink r:id="rId4" w:history="1">
        <w:r w:rsidRPr="00C3421B">
          <w:rPr>
            <w:rStyle w:val="Hyperlink"/>
          </w:rPr>
          <w:t>https://www.oxfamamerica.org/static/media/files/bp-reward-work-not-wealth-220118-en.pdf</w:t>
        </w:r>
      </w:hyperlink>
      <w:r>
        <w:t xml:space="preserve"> </w:t>
      </w:r>
    </w:p>
  </w:footnote>
  <w:footnote w:id="9">
    <w:p w14:paraId="2D438523" w14:textId="1B3F7A8D" w:rsidR="00601F98" w:rsidRDefault="00601F98">
      <w:pPr>
        <w:pStyle w:val="FootnoteText"/>
      </w:pPr>
      <w:r>
        <w:rPr>
          <w:rStyle w:val="FootnoteReference"/>
        </w:rPr>
        <w:footnoteRef/>
      </w:r>
      <w:r>
        <w:t xml:space="preserve"> Statista, “Wealth distribution in the United States in 2017.” </w:t>
      </w:r>
      <w:hyperlink r:id="rId5" w:history="1">
        <w:r w:rsidRPr="00FB4205">
          <w:rPr>
            <w:rStyle w:val="Hyperlink"/>
          </w:rPr>
          <w:t>https://www.statista.com/statistics/203961/wealth-distribution-for-the-us/</w:t>
        </w:r>
      </w:hyperlink>
    </w:p>
  </w:footnote>
  <w:footnote w:id="10">
    <w:p w14:paraId="755559FE" w14:textId="6B5DB222" w:rsidR="00601F98" w:rsidRDefault="00601F98">
      <w:pPr>
        <w:pStyle w:val="FootnoteText"/>
      </w:pPr>
      <w:r>
        <w:rPr>
          <w:rStyle w:val="FootnoteReference"/>
        </w:rPr>
        <w:footnoteRef/>
      </w:r>
      <w:r>
        <w:t xml:space="preserve"> Urban Institute, “Nine Charts About Wealth Inequality in America.” </w:t>
      </w:r>
      <w:hyperlink r:id="rId6" w:history="1">
        <w:r w:rsidRPr="000B22F2">
          <w:rPr>
            <w:rStyle w:val="Hyperlink"/>
          </w:rPr>
          <w:t>http://apps.urban.org/features/wealth-inequality-charts/</w:t>
        </w:r>
      </w:hyperlink>
    </w:p>
  </w:footnote>
  <w:footnote w:id="11">
    <w:p w14:paraId="471CCB1A" w14:textId="1A0C0ADB" w:rsidR="00601F98" w:rsidRDefault="00601F98">
      <w:pPr>
        <w:pStyle w:val="FootnoteText"/>
      </w:pPr>
      <w:r>
        <w:rPr>
          <w:rStyle w:val="FootnoteReference"/>
        </w:rPr>
        <w:footnoteRef/>
      </w:r>
      <w:r>
        <w:t xml:space="preserve"> Tippet, R. et al., “Beyond Broke: Why Closing the Racial Wealth is a Priority for National Economic Security.” </w:t>
      </w:r>
      <w:hyperlink r:id="rId7" w:history="1">
        <w:r w:rsidRPr="000B22F2">
          <w:rPr>
            <w:rStyle w:val="Hyperlink"/>
          </w:rPr>
          <w:t>http://globalpolicysolutions.org/wp-content/uploads/2016/04/Beyond_Broke_FINAL.pdf</w:t>
        </w:r>
      </w:hyperlink>
    </w:p>
  </w:footnote>
  <w:footnote w:id="12">
    <w:p w14:paraId="7F4ABA21" w14:textId="0B157E6A" w:rsidR="00601F98" w:rsidRDefault="00601F98" w:rsidP="00721B75">
      <w:pPr>
        <w:pStyle w:val="FootnoteText"/>
      </w:pPr>
      <w:r>
        <w:rPr>
          <w:rStyle w:val="FootnoteReference"/>
        </w:rPr>
        <w:footnoteRef/>
      </w:r>
      <w:r>
        <w:t xml:space="preserve"> Opportunity Starts at Home Campaign, “What is Opportunity Starts at Home?” </w:t>
      </w:r>
      <w:hyperlink r:id="rId8" w:history="1">
        <w:r w:rsidRPr="000B22F2">
          <w:rPr>
            <w:rStyle w:val="Hyperlink"/>
          </w:rPr>
          <w:t>https://www.opportunityhome.org/resources/what-is-opportunity-starts-at-home/</w:t>
        </w:r>
      </w:hyperlink>
    </w:p>
  </w:footnote>
  <w:footnote w:id="13">
    <w:p w14:paraId="70D38CE1" w14:textId="77777777" w:rsidR="00601F98" w:rsidRDefault="00601F98" w:rsidP="00721B75">
      <w:pPr>
        <w:pStyle w:val="FootnoteText"/>
      </w:pPr>
      <w:r>
        <w:rPr>
          <w:rStyle w:val="FootnoteReference"/>
        </w:rPr>
        <w:footnoteRef/>
      </w:r>
      <w:r>
        <w:t xml:space="preserve"> The Alliance to End Hunger, “Hunger is a Racial Equity Issue.” </w:t>
      </w:r>
      <w:hyperlink r:id="rId9" w:history="1">
        <w:r w:rsidRPr="000B22F2">
          <w:rPr>
            <w:rStyle w:val="Hyperlink"/>
          </w:rPr>
          <w:t>https://alliancetoendhunger.org/wp-content/uploads/2017/07/Factsheet_Alliance-To-End-Hunger_HUNGER-IS-A-RACIAL-EQUITY-ISSUE_071917.pdf</w:t>
        </w:r>
      </w:hyperlink>
    </w:p>
  </w:footnote>
  <w:footnote w:id="14">
    <w:p w14:paraId="7ED08E8B" w14:textId="77777777" w:rsidR="00601F98" w:rsidRDefault="00601F98" w:rsidP="00721B75">
      <w:pPr>
        <w:pStyle w:val="FootnoteText"/>
      </w:pPr>
      <w:r>
        <w:rPr>
          <w:rStyle w:val="FootnoteReference"/>
        </w:rPr>
        <w:footnoteRef/>
      </w:r>
      <w:r>
        <w:t xml:space="preserve"> Darity Jr., W. et al., “What We Get Wrong About Closing the Racial Wealth Gap.” </w:t>
      </w:r>
      <w:hyperlink r:id="rId10" w:history="1">
        <w:r w:rsidRPr="000B22F2">
          <w:rPr>
            <w:rStyle w:val="Hyperlink"/>
          </w:rPr>
          <w:t>https://socialequity.duke.edu/sites/socialequity.duke.edu/files/site-images/FINAL%20COMPLETE%20REPORT_.pdf</w:t>
        </w:r>
      </w:hyperlink>
    </w:p>
  </w:footnote>
  <w:footnote w:id="15">
    <w:p w14:paraId="1E3C5FAF" w14:textId="60601EAE" w:rsidR="00601F98" w:rsidRDefault="00601F98">
      <w:pPr>
        <w:pStyle w:val="FootnoteText"/>
      </w:pPr>
      <w:r>
        <w:rPr>
          <w:rStyle w:val="FootnoteReference"/>
        </w:rPr>
        <w:footnoteRef/>
      </w:r>
      <w:r>
        <w:t xml:space="preserve"> National Low-Income Housing Coalition, “The Gap: A Shortage of Affordable Rental Homes.” </w:t>
      </w:r>
      <w:hyperlink r:id="rId11" w:history="1">
        <w:r w:rsidRPr="00FB4205">
          <w:rPr>
            <w:rStyle w:val="Hyperlink"/>
          </w:rPr>
          <w:t>http://nlihc.org/gap</w:t>
        </w:r>
      </w:hyperlink>
      <w:r>
        <w:t xml:space="preserve"> </w:t>
      </w:r>
    </w:p>
  </w:footnote>
  <w:footnote w:id="16">
    <w:p w14:paraId="76D5B9E9" w14:textId="38CE1690" w:rsidR="00601F98" w:rsidRDefault="00601F98" w:rsidP="00721B75">
      <w:pPr>
        <w:pStyle w:val="FootnoteText"/>
      </w:pPr>
      <w:r>
        <w:rPr>
          <w:rStyle w:val="FootnoteReference"/>
        </w:rPr>
        <w:footnoteRef/>
      </w:r>
      <w:r>
        <w:t xml:space="preserve"> Joint Center for Housing Studies at Harvard University, “State of the Nation’s Housing 2017.” </w:t>
      </w:r>
      <w:hyperlink r:id="rId12" w:history="1">
        <w:r w:rsidRPr="000B22F2">
          <w:rPr>
            <w:rStyle w:val="Hyperlink"/>
          </w:rPr>
          <w:t>http://www.jchs.harvard.edu/sites/default/files/harvard_jchs_state_of_the_nations_housing_2017_chap1.pdf</w:t>
        </w:r>
      </w:hyperlink>
    </w:p>
  </w:footnote>
  <w:footnote w:id="17">
    <w:p w14:paraId="500AD3CB" w14:textId="46B020D9" w:rsidR="00601F98" w:rsidRDefault="00601F98">
      <w:pPr>
        <w:pStyle w:val="FootnoteText"/>
      </w:pPr>
      <w:r>
        <w:rPr>
          <w:rStyle w:val="FootnoteReference"/>
        </w:rPr>
        <w:footnoteRef/>
      </w:r>
      <w:r>
        <w:t xml:space="preserve"> National Low-Income Housing Coalition, “Out of Reach: The High Cost of Housing.” </w:t>
      </w:r>
      <w:bookmarkStart w:id="1" w:name="_Hlk518054277"/>
      <w:r>
        <w:fldChar w:fldCharType="begin"/>
      </w:r>
      <w:r>
        <w:instrText xml:space="preserve"> HYPERLINK "http://nlihc.org/sites/default/files/oor/OOR_2018.pdf" </w:instrText>
      </w:r>
      <w:r>
        <w:fldChar w:fldCharType="separate"/>
      </w:r>
      <w:r w:rsidRPr="00C3421B">
        <w:rPr>
          <w:rStyle w:val="Hyperlink"/>
        </w:rPr>
        <w:t>http://nlihc.org/sites/default/files/oor/OOR_2018.pdf</w:t>
      </w:r>
      <w:r>
        <w:rPr>
          <w:rStyle w:val="Hyperlink"/>
        </w:rPr>
        <w:fldChar w:fldCharType="end"/>
      </w:r>
      <w:r>
        <w:t xml:space="preserve"> </w:t>
      </w:r>
      <w:bookmarkEnd w:id="1"/>
    </w:p>
  </w:footnote>
  <w:footnote w:id="18">
    <w:p w14:paraId="4B01CA2F" w14:textId="46E1A45D" w:rsidR="00601F98" w:rsidRDefault="00601F98">
      <w:pPr>
        <w:pStyle w:val="FootnoteText"/>
      </w:pPr>
      <w:r>
        <w:rPr>
          <w:rStyle w:val="FootnoteReference"/>
        </w:rPr>
        <w:footnoteRef/>
      </w:r>
      <w:r>
        <w:t xml:space="preserve"> Nieves, E., and Asante-Muhammad, D., “Running in Place: Why the Racial Wealth Divide Keeps Black and Latino Families from Achieving Economic Security.” </w:t>
      </w:r>
      <w:hyperlink r:id="rId13" w:history="1">
        <w:r w:rsidRPr="000916E0">
          <w:rPr>
            <w:rStyle w:val="Hyperlink"/>
          </w:rPr>
          <w:t>https://prosperitynow.org/files/resources/Running_in_Place_FINAL_3.2018.pdf</w:t>
        </w:r>
      </w:hyperlink>
      <w:r>
        <w:t xml:space="preserve"> </w:t>
      </w:r>
    </w:p>
  </w:footnote>
  <w:footnote w:id="19">
    <w:p w14:paraId="34713E2C" w14:textId="332B0DB2" w:rsidR="00601F98" w:rsidRDefault="00601F98">
      <w:pPr>
        <w:pStyle w:val="FootnoteText"/>
      </w:pPr>
      <w:r>
        <w:rPr>
          <w:rStyle w:val="FootnoteReference"/>
        </w:rPr>
        <w:footnoteRef/>
      </w:r>
      <w:r>
        <w:t xml:space="preserve"> Bread for the World Institute, “Racial Wealth Simulation Policy Packet.” </w:t>
      </w:r>
      <w:hyperlink r:id="rId14" w:history="1">
        <w:r w:rsidRPr="000916E0">
          <w:rPr>
            <w:rStyle w:val="Hyperlink"/>
          </w:rPr>
          <w:t>http://files.bread.org/institute/simulation/Racial-Wealth-Gap-Policy-Packet.pdf?_ga=2.159261306.1788427538.1530137179-966109393.1526321415</w:t>
        </w:r>
      </w:hyperlink>
      <w:r>
        <w:t xml:space="preserve"> </w:t>
      </w:r>
    </w:p>
  </w:footnote>
  <w:footnote w:id="20">
    <w:p w14:paraId="7E0B31F0" w14:textId="6BA748E6" w:rsidR="00601F98" w:rsidRDefault="00601F98">
      <w:pPr>
        <w:pStyle w:val="FootnoteText"/>
      </w:pPr>
      <w:r>
        <w:rPr>
          <w:rStyle w:val="FootnoteReference"/>
        </w:rPr>
        <w:footnoteRef/>
      </w:r>
      <w:r>
        <w:t xml:space="preserve"> “Renewing Inequality: Urban Renewal, Family Displacements and Race 1955-1966.” </w:t>
      </w:r>
      <w:hyperlink r:id="rId15" w:anchor="view=0/0/1&amp;viz=cartogram" w:history="1">
        <w:r w:rsidRPr="000916E0">
          <w:rPr>
            <w:rStyle w:val="Hyperlink"/>
          </w:rPr>
          <w:t>https://dsl.richmond.edu/panorama/renewal/#view=0/0/1&amp;viz=cartogram</w:t>
        </w:r>
      </w:hyperlink>
      <w:r>
        <w:t xml:space="preserve"> </w:t>
      </w:r>
    </w:p>
  </w:footnote>
  <w:footnote w:id="21">
    <w:p w14:paraId="43332270" w14:textId="30D57F6B" w:rsidR="00601F98" w:rsidRDefault="00601F98">
      <w:pPr>
        <w:pStyle w:val="FootnoteText"/>
      </w:pPr>
      <w:r>
        <w:rPr>
          <w:rStyle w:val="FootnoteReference"/>
        </w:rPr>
        <w:footnoteRef/>
      </w:r>
      <w:r>
        <w:t xml:space="preserve"> </w:t>
      </w:r>
      <w:r w:rsidRPr="003C2A19">
        <w:t xml:space="preserve">Rothstein, Richard, </w:t>
      </w:r>
      <w:r w:rsidRPr="00F703CB">
        <w:rPr>
          <w:i/>
          <w:iCs/>
        </w:rPr>
        <w:t>Th</w:t>
      </w:r>
      <w:r w:rsidRPr="004C46BB">
        <w:rPr>
          <w:i/>
          <w:iCs/>
        </w:rPr>
        <w:t xml:space="preserve">e Color of Law: A Forgotten History of How Our Government Segregated America. </w:t>
      </w:r>
      <w:hyperlink r:id="rId16" w:history="1">
        <w:r w:rsidRPr="003C2A19">
          <w:rPr>
            <w:rStyle w:val="Hyperlink"/>
          </w:rPr>
          <w:t>https://www.npr.org/books/titles/526656129/the-color-of-law-a-forgotten-history-of-how-our-government-segregated-america</w:t>
        </w:r>
      </w:hyperlink>
    </w:p>
  </w:footnote>
  <w:footnote w:id="22">
    <w:p w14:paraId="004A2279" w14:textId="77777777" w:rsidR="00601F98" w:rsidRPr="003C2A19" w:rsidRDefault="00601F98" w:rsidP="00721B75">
      <w:pPr>
        <w:pStyle w:val="FootnoteText"/>
      </w:pPr>
      <w:r>
        <w:rPr>
          <w:rStyle w:val="FootnoteReference"/>
        </w:rPr>
        <w:footnoteRef/>
      </w:r>
      <w:r>
        <w:t xml:space="preserve"> </w:t>
      </w:r>
      <w:r w:rsidRPr="003C2A19">
        <w:t xml:space="preserve">Rothstein, Richard, </w:t>
      </w:r>
      <w:r w:rsidRPr="6EAB5542">
        <w:rPr>
          <w:i/>
        </w:rPr>
        <w:t xml:space="preserve">The Color of Law: A Forgotten History of How Our Government Segregated America. </w:t>
      </w:r>
      <w:hyperlink r:id="rId17" w:history="1">
        <w:r w:rsidRPr="003C2A19">
          <w:rPr>
            <w:rStyle w:val="Hyperlink"/>
          </w:rPr>
          <w:t>https://www.npr.org/books/titles/526656129/the-color-of-law-a-forgotten-history-of-how-our-government-segregated-america</w:t>
        </w:r>
      </w:hyperlink>
    </w:p>
  </w:footnote>
  <w:footnote w:id="23">
    <w:p w14:paraId="37193521" w14:textId="77777777" w:rsidR="00601F98" w:rsidRPr="003C2A19" w:rsidRDefault="00601F98" w:rsidP="00721B75">
      <w:pPr>
        <w:pStyle w:val="FootnoteText"/>
      </w:pPr>
      <w:r w:rsidRPr="003C2A19">
        <w:rPr>
          <w:rStyle w:val="FootnoteReference"/>
        </w:rPr>
        <w:footnoteRef/>
      </w:r>
      <w:r w:rsidRPr="003C2A19">
        <w:t xml:space="preserve"> </w:t>
      </w:r>
      <w:r w:rsidRPr="00F819AD">
        <w:t xml:space="preserve">Justia, “Shelley v. Kraemer” </w:t>
      </w:r>
      <w:hyperlink r:id="rId18">
        <w:r w:rsidRPr="00F819AD">
          <w:rPr>
            <w:rStyle w:val="InternetLink"/>
            <w:color w:val="4472C4" w:themeColor="accent1"/>
          </w:rPr>
          <w:t>https://supreme.justia.com/cases/federal/us/334/1/case.html</w:t>
        </w:r>
      </w:hyperlink>
    </w:p>
  </w:footnote>
  <w:footnote w:id="24">
    <w:p w14:paraId="5D17FD2B" w14:textId="77777777" w:rsidR="00601F98" w:rsidRPr="00F819AD" w:rsidRDefault="00601F98" w:rsidP="00721B75">
      <w:pPr>
        <w:pStyle w:val="FootnoteText"/>
        <w:rPr>
          <w:rFonts w:ascii="Helvetica" w:eastAsia="Helvetica" w:hAnsi="Helvetica" w:cs="Helvetica"/>
        </w:rPr>
      </w:pPr>
      <w:r w:rsidRPr="003C2A19">
        <w:rPr>
          <w:rStyle w:val="FootnoteReference"/>
        </w:rPr>
        <w:footnoteRef/>
      </w:r>
      <w:r w:rsidRPr="003C2A19">
        <w:t xml:space="preserve"> </w:t>
      </w:r>
      <w:r w:rsidRPr="00F819AD">
        <w:t xml:space="preserve">Encyclopedia of Chicago, “Blockbusting” </w:t>
      </w:r>
      <w:bookmarkStart w:id="4" w:name="_Hlk518054075"/>
      <w:r>
        <w:fldChar w:fldCharType="begin"/>
      </w:r>
      <w:r>
        <w:instrText xml:space="preserve"> HYPERLINK "http://www.encyclopedia.chicagohistory.org/pages/147.html" \h </w:instrText>
      </w:r>
      <w:r>
        <w:fldChar w:fldCharType="separate"/>
      </w:r>
      <w:r w:rsidRPr="00F819AD">
        <w:rPr>
          <w:rStyle w:val="InternetLink"/>
          <w:color w:val="4472C4" w:themeColor="accent1"/>
        </w:rPr>
        <w:t>http://www.encyclopedia.chicagohistory.org/pages/147.html</w:t>
      </w:r>
      <w:r>
        <w:rPr>
          <w:rStyle w:val="InternetLink"/>
          <w:color w:val="4472C4" w:themeColor="accent1"/>
        </w:rPr>
        <w:fldChar w:fldCharType="end"/>
      </w:r>
      <w:bookmarkEnd w:id="4"/>
      <w:r w:rsidRPr="00F819AD">
        <w:rPr>
          <w:rFonts w:ascii="Helvetica" w:eastAsia="Helvetica" w:hAnsi="Helvetica" w:cs="Helvetica"/>
          <w:color w:val="4472C4" w:themeColor="accent1"/>
        </w:rPr>
        <w:t xml:space="preserve"> </w:t>
      </w:r>
    </w:p>
  </w:footnote>
  <w:footnote w:id="25">
    <w:p w14:paraId="7C583C19" w14:textId="77777777" w:rsidR="00601F98" w:rsidRPr="003C2A19" w:rsidRDefault="00601F98" w:rsidP="00721B75">
      <w:pPr>
        <w:pStyle w:val="FootnoteText"/>
      </w:pPr>
      <w:r w:rsidRPr="003C2A19">
        <w:rPr>
          <w:rStyle w:val="FootnoteReference"/>
        </w:rPr>
        <w:footnoteRef/>
      </w:r>
      <w:r w:rsidRPr="003C2A19">
        <w:t xml:space="preserve"> BlackPast.org, “Redlining (1937-).” </w:t>
      </w:r>
      <w:bookmarkStart w:id="5" w:name="_Hlk518054094"/>
      <w:r>
        <w:fldChar w:fldCharType="begin"/>
      </w:r>
      <w:r>
        <w:instrText xml:space="preserve"> HYPERLINK "http://www.blackpast.org/aah/redlining-1937" </w:instrText>
      </w:r>
      <w:r>
        <w:fldChar w:fldCharType="separate"/>
      </w:r>
      <w:r w:rsidRPr="003C2A19">
        <w:rPr>
          <w:rStyle w:val="Hyperlink"/>
        </w:rPr>
        <w:t>http://www.blackpast.org/aah/redlining-1937</w:t>
      </w:r>
      <w:r>
        <w:rPr>
          <w:rStyle w:val="Hyperlink"/>
        </w:rPr>
        <w:fldChar w:fldCharType="end"/>
      </w:r>
      <w:bookmarkEnd w:id="5"/>
    </w:p>
  </w:footnote>
  <w:footnote w:id="26">
    <w:p w14:paraId="60069759" w14:textId="77777777" w:rsidR="00601F98" w:rsidRDefault="00601F98" w:rsidP="00721B75">
      <w:pPr>
        <w:pStyle w:val="FootnoteText"/>
      </w:pPr>
      <w:r w:rsidRPr="003C2A19">
        <w:rPr>
          <w:rStyle w:val="FootnoteReference"/>
        </w:rPr>
        <w:footnoteRef/>
      </w:r>
      <w:r w:rsidRPr="003C2A19">
        <w:t xml:space="preserve"> </w:t>
      </w:r>
      <w:r w:rsidRPr="00F819AD">
        <w:t xml:space="preserve">Investopedia, “Zoning” </w:t>
      </w:r>
      <w:bookmarkStart w:id="6" w:name="_Hlk518054114"/>
      <w:r>
        <w:fldChar w:fldCharType="begin"/>
      </w:r>
      <w:r>
        <w:instrText xml:space="preserve"> HYPERLINK "http://www.investopedia.com/terms/z/zoning.asp" \h </w:instrText>
      </w:r>
      <w:r>
        <w:fldChar w:fldCharType="separate"/>
      </w:r>
      <w:r w:rsidRPr="00F819AD">
        <w:rPr>
          <w:rStyle w:val="InternetLink"/>
          <w:color w:val="4472C4" w:themeColor="accent1"/>
        </w:rPr>
        <w:t>http://www.investopedia.com/terms/z/zoning.asp</w:t>
      </w:r>
      <w:r>
        <w:rPr>
          <w:rStyle w:val="InternetLink"/>
          <w:color w:val="4472C4" w:themeColor="accent1"/>
        </w:rPr>
        <w:fldChar w:fldCharType="end"/>
      </w:r>
      <w:bookmarkEnd w:id="6"/>
    </w:p>
  </w:footnote>
  <w:footnote w:id="27">
    <w:p w14:paraId="77E90C5E" w14:textId="77777777" w:rsidR="00601F98" w:rsidRPr="00BD4FEC" w:rsidRDefault="00601F98" w:rsidP="00721B75">
      <w:pPr>
        <w:pStyle w:val="FootnoteText"/>
      </w:pPr>
      <w:r>
        <w:rPr>
          <w:rStyle w:val="FootnoteReference"/>
        </w:rPr>
        <w:footnoteRef/>
      </w:r>
      <w:r>
        <w:t xml:space="preserve"> </w:t>
      </w:r>
      <w:r w:rsidRPr="00BD4FEC">
        <w:t>NPR, “A ‘Forgotten History’ of How the US Government Segregated America.” https://www.npr.org/2017/05/03/526655831/a-forgotten-history-of-how-the-u-s-government-segregated-america</w:t>
      </w:r>
    </w:p>
  </w:footnote>
  <w:footnote w:id="28">
    <w:p w14:paraId="347E5D8A" w14:textId="77777777" w:rsidR="00601F98" w:rsidRPr="00BD4FEC" w:rsidRDefault="00601F98" w:rsidP="00A254CC">
      <w:pPr>
        <w:pStyle w:val="FootnoteText"/>
      </w:pPr>
      <w:r w:rsidRPr="00BD4FEC">
        <w:rPr>
          <w:rStyle w:val="FootnoteReference"/>
        </w:rPr>
        <w:footnoteRef/>
      </w:r>
      <w:r w:rsidRPr="00BD4FEC">
        <w:t xml:space="preserve"> </w:t>
      </w:r>
      <w:r w:rsidRPr="005C71B4">
        <w:t>U.S. Department of Housing and Urban Development, “The Fair Housing Act”</w:t>
      </w:r>
      <w:r w:rsidRPr="00BD4FEC">
        <w:rPr>
          <w:rFonts w:cs="Helvetica"/>
        </w:rPr>
        <w:br/>
      </w:r>
      <w:hyperlink r:id="rId19">
        <w:r w:rsidRPr="005C71B4">
          <w:rPr>
            <w:rStyle w:val="InternetLink"/>
            <w:color w:val="4472C4" w:themeColor="accent1"/>
          </w:rPr>
          <w:t>https://portal.hud.gov/hudportal/HUD?src=/program_offices/fair_housing_equal_opp/progdesc/title</w:t>
        </w:r>
        <w:r w:rsidRPr="005C71B4">
          <w:rPr>
            <w:rStyle w:val="InternetLink"/>
            <w:color w:val="C00000"/>
          </w:rPr>
          <w:t>8</w:t>
        </w:r>
      </w:hyperlink>
      <w:r w:rsidRPr="005C71B4">
        <w:rPr>
          <w:rFonts w:ascii="Times New Roman" w:eastAsia="Times New Roman" w:hAnsi="Times New Roman" w:cs="Times New Roman"/>
          <w:color w:val="C00000"/>
        </w:rPr>
        <w:t xml:space="preserve"> </w:t>
      </w:r>
    </w:p>
  </w:footnote>
  <w:footnote w:id="29">
    <w:p w14:paraId="428C6696" w14:textId="574711E4" w:rsidR="00601F98" w:rsidRPr="00F819AD" w:rsidRDefault="00601F98" w:rsidP="00721B75">
      <w:pPr>
        <w:pStyle w:val="FootnoteText"/>
        <w:rPr>
          <w:rFonts w:ascii="Helvetica" w:eastAsia="Helvetica" w:hAnsi="Helvetica" w:cs="Helvetica"/>
          <w:color w:val="4472C4" w:themeColor="accent1"/>
          <w:u w:val="single"/>
        </w:rPr>
      </w:pPr>
      <w:r w:rsidRPr="00BD4FEC">
        <w:rPr>
          <w:rStyle w:val="FootnoteReference"/>
        </w:rPr>
        <w:footnoteRef/>
      </w:r>
      <w:r w:rsidRPr="00BD4FEC">
        <w:t xml:space="preserve"> </w:t>
      </w:r>
      <w:r w:rsidRPr="00F819AD">
        <w:t xml:space="preserve">Economic Policy Institute, “Modern Segregation” </w:t>
      </w:r>
      <w:hyperlink r:id="rId20">
        <w:r w:rsidRPr="00F819AD">
          <w:rPr>
            <w:rStyle w:val="InternetLink"/>
            <w:color w:val="4472C4" w:themeColor="accent1"/>
          </w:rPr>
          <w:t>https://www.epi.org/publication/modern-segregation/</w:t>
        </w:r>
      </w:hyperlink>
    </w:p>
  </w:footnote>
  <w:footnote w:id="30">
    <w:p w14:paraId="38839672" w14:textId="77777777" w:rsidR="00601F98" w:rsidRPr="00BD4FEC" w:rsidRDefault="00601F98" w:rsidP="00721B75">
      <w:pPr>
        <w:pStyle w:val="FootnoteText"/>
      </w:pPr>
      <w:r w:rsidRPr="00BD4FEC">
        <w:rPr>
          <w:rStyle w:val="FootnoteReference"/>
        </w:rPr>
        <w:footnoteRef/>
      </w:r>
      <w:r w:rsidRPr="00BD4FEC">
        <w:t xml:space="preserve"> Prosperity Now, “The Ever-Growing Gap: Without Change African American and Latino Families Won’t Match White Wealth for Centuries.” </w:t>
      </w:r>
      <w:hyperlink r:id="rId21" w:history="1">
        <w:r w:rsidRPr="00BD4FEC">
          <w:rPr>
            <w:rStyle w:val="Hyperlink"/>
          </w:rPr>
          <w:t>https://prosperitynow.org/files/resources/The_Ever_Growing_Gap-CFED_IPS-Final.pdf</w:t>
        </w:r>
      </w:hyperlink>
    </w:p>
  </w:footnote>
  <w:footnote w:id="31">
    <w:p w14:paraId="55346BA6" w14:textId="774A42DC" w:rsidR="00601F98" w:rsidRDefault="00601F98" w:rsidP="00721B75">
      <w:pPr>
        <w:pStyle w:val="FootnoteText"/>
      </w:pPr>
      <w:r w:rsidRPr="00BD4FEC">
        <w:rPr>
          <w:rStyle w:val="FootnoteReference"/>
        </w:rPr>
        <w:footnoteRef/>
      </w:r>
      <w:r w:rsidRPr="00BD4FEC">
        <w:t xml:space="preserve"> History.com, “The G.I. Bill.” </w:t>
      </w:r>
      <w:hyperlink r:id="rId22" w:history="1">
        <w:r w:rsidRPr="00BD4FEC">
          <w:rPr>
            <w:rStyle w:val="Hyperlink"/>
          </w:rPr>
          <w:t>https://www.history.com/topics/world-war-ii/gi-bill</w:t>
        </w:r>
      </w:hyperlink>
    </w:p>
  </w:footnote>
  <w:footnote w:id="32">
    <w:p w14:paraId="67A196FC" w14:textId="77777777" w:rsidR="00601F98" w:rsidRDefault="00601F98" w:rsidP="00BA34CE">
      <w:pPr>
        <w:pStyle w:val="FootnoteText"/>
      </w:pPr>
      <w:r>
        <w:rPr>
          <w:rStyle w:val="FootnoteReference"/>
        </w:rPr>
        <w:footnoteRef/>
      </w:r>
      <w:r>
        <w:t xml:space="preserve"> Thirteen.org, “The Rise and Fall of Jim Crow.” </w:t>
      </w:r>
      <w:hyperlink r:id="rId23" w:history="1">
        <w:r w:rsidRPr="004513DA">
          <w:rPr>
            <w:rStyle w:val="Hyperlink"/>
          </w:rPr>
          <w:t>https://www.thirteen.org/wnet/jimcrow/</w:t>
        </w:r>
      </w:hyperlink>
    </w:p>
  </w:footnote>
  <w:footnote w:id="33">
    <w:p w14:paraId="7E480098" w14:textId="77777777" w:rsidR="00601F98" w:rsidRDefault="00601F98" w:rsidP="00721B75">
      <w:pPr>
        <w:pStyle w:val="FootnoteText"/>
      </w:pPr>
      <w:r>
        <w:rPr>
          <w:rStyle w:val="FootnoteReference"/>
        </w:rPr>
        <w:footnoteRef/>
      </w:r>
      <w:r>
        <w:t xml:space="preserve"> Bread for the World Institute, “Racial Wealth Gap Learning Simulation Policy Packet.” </w:t>
      </w:r>
      <w:hyperlink r:id="rId24" w:history="1">
        <w:r w:rsidRPr="004513DA">
          <w:rPr>
            <w:rStyle w:val="Hyperlink"/>
          </w:rPr>
          <w:t>http://files.bread.org/institute/simulation/Racial-Wealth-Gap-Policy-Packet.pdf?_ga=2.69274064.1789669477.1529015002-1546765189.1521134376</w:t>
        </w:r>
      </w:hyperlink>
    </w:p>
  </w:footnote>
  <w:footnote w:id="34">
    <w:p w14:paraId="2B4BC82C" w14:textId="77777777" w:rsidR="00601F98" w:rsidRDefault="00601F98" w:rsidP="00721B75">
      <w:pPr>
        <w:pStyle w:val="FootnoteText"/>
      </w:pPr>
      <w:r>
        <w:rPr>
          <w:rStyle w:val="FootnoteReference"/>
        </w:rPr>
        <w:footnoteRef/>
      </w:r>
      <w:r>
        <w:t xml:space="preserve"> Kochhar, R. and Fry, R., “Wealth Inequality Has Widened Along Racial, Ethnic Lines Since End of Great Recession.” </w:t>
      </w:r>
      <w:hyperlink r:id="rId25" w:history="1">
        <w:r w:rsidRPr="004513DA">
          <w:rPr>
            <w:rStyle w:val="Hyperlink"/>
          </w:rPr>
          <w:t>http://www.pewresearch.org/fact-tank/2014/12/12/racial-wealth-gaps-great-recession/</w:t>
        </w:r>
      </w:hyperlink>
    </w:p>
    <w:p w14:paraId="154B0AB1" w14:textId="77777777" w:rsidR="00601F98" w:rsidRDefault="00601F98" w:rsidP="00721B75">
      <w:pPr>
        <w:pStyle w:val="FootnoteText"/>
      </w:pPr>
    </w:p>
  </w:footnote>
  <w:footnote w:id="35">
    <w:p w14:paraId="6149E4B4" w14:textId="2F78064F" w:rsidR="00601F98" w:rsidRDefault="00601F98">
      <w:pPr>
        <w:pStyle w:val="FootnoteText"/>
      </w:pPr>
      <w:r>
        <w:rPr>
          <w:rStyle w:val="FootnoteReference"/>
        </w:rPr>
        <w:footnoteRef/>
      </w:r>
      <w:r>
        <w:t xml:space="preserve"> Kochhar, R. et al., “Wealth Gaps Rise to Record Highs Between Whites, Blacks, Hispanics.” </w:t>
      </w:r>
      <w:hyperlink r:id="rId26" w:history="1">
        <w:r w:rsidRPr="000B22F2">
          <w:rPr>
            <w:rStyle w:val="Hyperlink"/>
          </w:rPr>
          <w:t>http://www.pewsocialtrends.org/2011/07/26/wealth-gaps-rise-to-record-highs-between-whites-blacks-hispanics/</w:t>
        </w:r>
      </w:hyperlink>
    </w:p>
  </w:footnote>
  <w:footnote w:id="36">
    <w:p w14:paraId="17145AA5" w14:textId="191EAEB9" w:rsidR="00601F98" w:rsidRPr="00F6022F" w:rsidRDefault="00601F98">
      <w:pPr>
        <w:pStyle w:val="FootnoteText"/>
        <w:rPr>
          <w:lang w:val="es-ES"/>
        </w:rPr>
      </w:pPr>
      <w:r>
        <w:rPr>
          <w:rStyle w:val="FootnoteReference"/>
        </w:rPr>
        <w:footnoteRef/>
      </w:r>
      <w:r>
        <w:t xml:space="preserve"> Tippet, R. et al., “Beyond Broke: Why Closing the Racial Wealth is a Priority for National Economic Security.” </w:t>
      </w:r>
      <w:hyperlink r:id="rId27" w:history="1">
        <w:r w:rsidRPr="00F6022F">
          <w:rPr>
            <w:rStyle w:val="Hyperlink"/>
            <w:lang w:val="es-ES"/>
          </w:rPr>
          <w:t>http://globalpolicysolutions.org/wp-content/uploads/2016/04/Beyond_Broke_FINAL.pdf</w:t>
        </w:r>
      </w:hyperlink>
    </w:p>
  </w:footnote>
  <w:footnote w:id="37">
    <w:p w14:paraId="78DB8631" w14:textId="5E60FDA2" w:rsidR="00601F98" w:rsidRPr="00F6022F" w:rsidRDefault="00601F98">
      <w:pPr>
        <w:pStyle w:val="FootnoteText"/>
        <w:rPr>
          <w:lang w:val="es-ES"/>
        </w:rPr>
      </w:pPr>
      <w:r>
        <w:rPr>
          <w:rStyle w:val="FootnoteReference"/>
        </w:rPr>
        <w:footnoteRef/>
      </w:r>
      <w:r w:rsidRPr="00F6022F">
        <w:rPr>
          <w:lang w:val="es-ES"/>
        </w:rPr>
        <w:t xml:space="preserve"> Ibid.</w:t>
      </w:r>
    </w:p>
  </w:footnote>
  <w:footnote w:id="38">
    <w:p w14:paraId="70FCF512" w14:textId="1E8F598B" w:rsidR="00601F98" w:rsidRDefault="00601F98">
      <w:pPr>
        <w:pStyle w:val="FootnoteText"/>
      </w:pPr>
      <w:r>
        <w:rPr>
          <w:rStyle w:val="FootnoteReference"/>
        </w:rPr>
        <w:footnoteRef/>
      </w:r>
      <w:r>
        <w:t xml:space="preserve"> Darity Jr., W. et al., “What We Get Wrong About Closing the Racial Wealth Gap.” </w:t>
      </w:r>
      <w:hyperlink r:id="rId28" w:history="1">
        <w:r w:rsidRPr="000B22F2">
          <w:rPr>
            <w:rStyle w:val="Hyperlink"/>
          </w:rPr>
          <w:t>https://socialequity.duke.edu/sites/socialequity.duke.edu/files/site-images/FINAL%20COMPLETE%20REPORT_.pdf</w:t>
        </w:r>
      </w:hyperlink>
    </w:p>
  </w:footnote>
  <w:footnote w:id="39">
    <w:p w14:paraId="11E2ED1A" w14:textId="19895605" w:rsidR="00601F98" w:rsidRDefault="00601F98">
      <w:pPr>
        <w:pStyle w:val="FootnoteText"/>
      </w:pPr>
      <w:r>
        <w:rPr>
          <w:rStyle w:val="FootnoteReference"/>
        </w:rPr>
        <w:footnoteRef/>
      </w:r>
      <w:r>
        <w:t xml:space="preserve"> Schapitl, Lexie, </w:t>
      </w:r>
      <w:r w:rsidRPr="6EAB5542">
        <w:rPr>
          <w:i/>
        </w:rPr>
        <w:t>Vox:</w:t>
      </w:r>
      <w:r>
        <w:t xml:space="preserve"> “The Racial Wealth Gap is Where Yesterday’s Injustice Becomes Today’s Inequality. And It’s Growing.” </w:t>
      </w:r>
      <w:hyperlink r:id="rId29" w:history="1">
        <w:r w:rsidRPr="000B22F2">
          <w:rPr>
            <w:rStyle w:val="Hyperlink"/>
          </w:rPr>
          <w:t>https://www.vox.com/2018/5/23/17377084/racial-wealth-gap-explained-netflix</w:t>
        </w:r>
      </w:hyperlink>
    </w:p>
  </w:footnote>
  <w:footnote w:id="40">
    <w:p w14:paraId="7D568C4E" w14:textId="0D13F13E" w:rsidR="00601F98" w:rsidRDefault="00601F98">
      <w:pPr>
        <w:pStyle w:val="FootnoteText"/>
      </w:pPr>
      <w:r>
        <w:rPr>
          <w:rStyle w:val="FootnoteReference"/>
        </w:rPr>
        <w:footnoteRef/>
      </w:r>
      <w:r>
        <w:t xml:space="preserve"> Adjeiwaa-Manu, Nana, “Unemployment Data by Race and Ethnicity.” </w:t>
      </w:r>
      <w:hyperlink r:id="rId30" w:history="1">
        <w:r w:rsidRPr="000B22F2">
          <w:rPr>
            <w:rStyle w:val="Hyperlink"/>
          </w:rPr>
          <w:t>https://globalpolicysolutions.org/wp-content/uploads/2017/07/Unemployment-Data-by-Race.pdf</w:t>
        </w:r>
      </w:hyperlink>
    </w:p>
  </w:footnote>
  <w:footnote w:id="41">
    <w:p w14:paraId="4BF6B5CA" w14:textId="6BF5240F" w:rsidR="00601F98" w:rsidRDefault="00601F98">
      <w:pPr>
        <w:pStyle w:val="FootnoteText"/>
      </w:pPr>
      <w:r>
        <w:rPr>
          <w:rStyle w:val="FootnoteReference"/>
        </w:rPr>
        <w:footnoteRef/>
      </w:r>
      <w:r>
        <w:t xml:space="preserve"> Hamilton, D. et. al, “Umbrellas Don’t Make it Rain: Why Studying and Working Hard Isn’t Enough for Black Americans.” </w:t>
      </w:r>
      <w:hyperlink r:id="rId31" w:history="1">
        <w:r w:rsidRPr="000B22F2">
          <w:rPr>
            <w:rStyle w:val="Hyperlink"/>
          </w:rPr>
          <w:t>http://www.insightcced.org/wp-content/uploads/2015/08/Umbrellas_Dont_Make_It_Rain_Final.pdf</w:t>
        </w:r>
      </w:hyperlink>
    </w:p>
  </w:footnote>
  <w:footnote w:id="42">
    <w:p w14:paraId="3C2F8A85" w14:textId="592F1A65" w:rsidR="00601F98" w:rsidRPr="00F819AD" w:rsidRDefault="00601F98">
      <w:pPr>
        <w:pStyle w:val="FootnoteText"/>
        <w:rPr>
          <w:color w:val="0563C1" w:themeColor="hyperlink"/>
          <w:u w:val="single"/>
        </w:rPr>
      </w:pPr>
      <w:r>
        <w:rPr>
          <w:rStyle w:val="FootnoteReference"/>
        </w:rPr>
        <w:footnoteRef/>
      </w:r>
      <w:r>
        <w:t xml:space="preserve"> Shapiro, T., “The Roots of the Widening Racial Wealth Gap: Explaining the Black-White Economic Divide.” </w:t>
      </w:r>
      <w:hyperlink r:id="rId32" w:history="1">
        <w:r w:rsidRPr="000B22F2">
          <w:rPr>
            <w:rStyle w:val="Hyperlink"/>
          </w:rPr>
          <w:t>https://iasp.brandeis.edu/pdfs/Author/shapiro-thomas-m/racialwealthgapbrief.pdf</w:t>
        </w:r>
      </w:hyperlink>
    </w:p>
  </w:footnote>
  <w:footnote w:id="43">
    <w:p w14:paraId="4F2C50E8" w14:textId="5B4762E1" w:rsidR="00601F98" w:rsidRDefault="00601F98">
      <w:pPr>
        <w:pStyle w:val="FootnoteText"/>
      </w:pPr>
      <w:r>
        <w:rPr>
          <w:rStyle w:val="FootnoteReference"/>
        </w:rPr>
        <w:footnoteRef/>
      </w:r>
      <w:r>
        <w:t xml:space="preserve"> Currier, E. and Elmi, S., “The Racial Wealth Gap and Today’s American Dream.” </w:t>
      </w:r>
      <w:hyperlink r:id="rId33" w:history="1">
        <w:r w:rsidRPr="000B22F2">
          <w:rPr>
            <w:rStyle w:val="Hyperlink"/>
          </w:rPr>
          <w:t>http://www.pewtrusts.org/en/research-and-analysis/articles/2018/02/16/the-racial-wealth-gap-and-todays-american-dream</w:t>
        </w:r>
      </w:hyperlink>
    </w:p>
  </w:footnote>
  <w:footnote w:id="44">
    <w:p w14:paraId="35105E1A" w14:textId="3BB41997" w:rsidR="00601F98" w:rsidRDefault="00601F98">
      <w:pPr>
        <w:pStyle w:val="FootnoteText"/>
      </w:pPr>
      <w:r>
        <w:rPr>
          <w:rStyle w:val="FootnoteReference"/>
        </w:rPr>
        <w:footnoteRef/>
      </w:r>
      <w:r>
        <w:t xml:space="preserve"> Prosperity Now, “Wealth Building for the Wealthy through the Tax Code Continues as Families of Color Fall Farther Behind.” </w:t>
      </w:r>
      <w:hyperlink r:id="rId34" w:history="1">
        <w:r w:rsidRPr="000B22F2">
          <w:rPr>
            <w:rStyle w:val="Hyperlink"/>
          </w:rPr>
          <w:t>https://prosperitynow.org/blog/wealth-building-wealthy-through-tax-code-continues-families-color-fall-further-behind</w:t>
        </w:r>
      </w:hyperlink>
    </w:p>
  </w:footnote>
  <w:footnote w:id="45">
    <w:p w14:paraId="76C749D6" w14:textId="06DB3C5D" w:rsidR="00601F98" w:rsidRDefault="00601F98">
      <w:pPr>
        <w:pStyle w:val="FootnoteText"/>
      </w:pPr>
      <w:r>
        <w:rPr>
          <w:rStyle w:val="FootnoteReference"/>
        </w:rPr>
        <w:footnoteRef/>
      </w:r>
      <w:r>
        <w:t xml:space="preserve"> Investopedia, “Mortgage Interest Deduction.” </w:t>
      </w:r>
      <w:hyperlink r:id="rId35" w:history="1">
        <w:r w:rsidRPr="000B22F2">
          <w:rPr>
            <w:rStyle w:val="Hyperlink"/>
          </w:rPr>
          <w:t>https://www.investopedia.com/terms/home-mortgage-interest.asp</w:t>
        </w:r>
      </w:hyperlink>
    </w:p>
  </w:footnote>
  <w:footnote w:id="46">
    <w:p w14:paraId="373CD59E" w14:textId="77777777" w:rsidR="00601F98" w:rsidRDefault="00601F98" w:rsidP="000D20D9">
      <w:pPr>
        <w:pStyle w:val="FootnoteText"/>
      </w:pPr>
      <w:r>
        <w:rPr>
          <w:rStyle w:val="FootnoteReference"/>
        </w:rPr>
        <w:footnoteRef/>
      </w:r>
      <w:r>
        <w:t xml:space="preserve"> Institute on Assets and Social Policy, National Low-Income Housing Coalition: “Misdirected Investments: How the Mortgage Interest Deduction Drives Inequality and the Racial Wealth Gap.” </w:t>
      </w:r>
      <w:hyperlink r:id="rId36" w:history="1">
        <w:r w:rsidRPr="000B22F2">
          <w:rPr>
            <w:rStyle w:val="Hyperlink"/>
          </w:rPr>
          <w:t>https://iasp.brandeis.edu/pdfs/2017/NLIHC-IASP_MID-Report.pdf</w:t>
        </w:r>
      </w:hyperlink>
    </w:p>
  </w:footnote>
  <w:footnote w:id="47">
    <w:p w14:paraId="6640A54F" w14:textId="771C2147" w:rsidR="00601F98" w:rsidRDefault="00601F98">
      <w:pPr>
        <w:pStyle w:val="FootnoteText"/>
      </w:pPr>
      <w:r>
        <w:rPr>
          <w:rStyle w:val="FootnoteReference"/>
        </w:rPr>
        <w:footnoteRef/>
      </w:r>
      <w:r>
        <w:t xml:space="preserve"> Greer, Jeremie, “How the US Tax Code Drives Inequality and What We Can Do to Fix It.” </w:t>
      </w:r>
      <w:hyperlink r:id="rId37" w:history="1">
        <w:r w:rsidRPr="000B22F2">
          <w:rPr>
            <w:rStyle w:val="Hyperlink"/>
          </w:rPr>
          <w:t>https://iasp.brandeis.edu/pdfs/2017/NLIHC-IASP_MID-Report.pdf</w:t>
        </w:r>
      </w:hyperlink>
    </w:p>
  </w:footnote>
  <w:footnote w:id="48">
    <w:p w14:paraId="71C285D6" w14:textId="4D0E0FC8" w:rsidR="00601F98" w:rsidRDefault="00601F98">
      <w:pPr>
        <w:pStyle w:val="FootnoteText"/>
      </w:pPr>
      <w:r>
        <w:rPr>
          <w:rStyle w:val="FootnoteReference"/>
        </w:rPr>
        <w:footnoteRef/>
      </w:r>
      <w:r>
        <w:t xml:space="preserve"> Long, Heather. </w:t>
      </w:r>
      <w:r w:rsidRPr="6EAB5542">
        <w:rPr>
          <w:i/>
        </w:rPr>
        <w:t>Washington Post</w:t>
      </w:r>
      <w:r>
        <w:t>: “</w:t>
      </w:r>
      <w:r w:rsidRPr="000924A0">
        <w:t>The final GOP tax bill is complete. Here’s what is in it.</w:t>
      </w:r>
      <w:r>
        <w:t xml:space="preserve">” </w:t>
      </w:r>
      <w:hyperlink r:id="rId38" w:history="1">
        <w:r w:rsidRPr="00FA5795">
          <w:rPr>
            <w:rStyle w:val="Hyperlink"/>
          </w:rPr>
          <w:t>https://www.washingtonpost.com/news/wonk/wp/2017/12/15/the-final-gop-tax-bill-is-complete-heres-what-is-in-it/?noredirect=on&amp;utm_term=.bf09ac9e9095</w:t>
        </w:r>
      </w:hyperlink>
    </w:p>
  </w:footnote>
  <w:footnote w:id="49">
    <w:p w14:paraId="34B88A75" w14:textId="606974F2" w:rsidR="00601F98" w:rsidRDefault="00601F98">
      <w:pPr>
        <w:pStyle w:val="FootnoteText"/>
      </w:pPr>
      <w:r>
        <w:rPr>
          <w:rStyle w:val="FootnoteReference"/>
        </w:rPr>
        <w:footnoteRef/>
      </w:r>
      <w:r>
        <w:t xml:space="preserve"> Long, Heather. </w:t>
      </w:r>
      <w:r w:rsidRPr="6EAB5542">
        <w:rPr>
          <w:i/>
        </w:rPr>
        <w:t>Washington Post</w:t>
      </w:r>
      <w:r>
        <w:t>: “</w:t>
      </w:r>
      <w:r w:rsidRPr="000924A0">
        <w:t>The final GOP tax bill is complete. Here’s what is in it.</w:t>
      </w:r>
      <w:r>
        <w:t xml:space="preserve">” </w:t>
      </w:r>
      <w:hyperlink r:id="rId39" w:history="1">
        <w:r w:rsidRPr="00FA5795">
          <w:rPr>
            <w:rStyle w:val="Hyperlink"/>
          </w:rPr>
          <w:t>https://www.washingtonpost.com/news/wonk/wp/2017/12/15/the-final-gop-tax-bill-is-complete-heres-what-is-in-it/?noredirect=on&amp;utm_term=.bf09ac9e9095</w:t>
        </w:r>
      </w:hyperlink>
    </w:p>
  </w:footnote>
  <w:footnote w:id="50">
    <w:p w14:paraId="68ED9959" w14:textId="218C1A5C" w:rsidR="00601F98" w:rsidRDefault="00601F98">
      <w:pPr>
        <w:pStyle w:val="FootnoteText"/>
      </w:pPr>
      <w:r>
        <w:rPr>
          <w:rStyle w:val="FootnoteReference"/>
        </w:rPr>
        <w:footnoteRef/>
      </w:r>
      <w:r>
        <w:t xml:space="preserve"> Hanlon, S. and Hendricks, G., “</w:t>
      </w:r>
      <w:r w:rsidRPr="000924A0">
        <w:t>Congress Should Not Give a Second Helping of Tax Cuts to the Rich</w:t>
      </w:r>
      <w:r>
        <w:t xml:space="preserve">.” </w:t>
      </w:r>
      <w:hyperlink r:id="rId40" w:history="1">
        <w:r w:rsidRPr="00FA5795">
          <w:rPr>
            <w:rStyle w:val="Hyperlink"/>
          </w:rPr>
          <w:t>https://www.americanprogress.org/issues/economy/news/2018/06/14/452195/congress-not-give-second-helping-tax-cuts-rich/</w:t>
        </w:r>
      </w:hyperlink>
      <w:r>
        <w:t xml:space="preserve"> </w:t>
      </w:r>
    </w:p>
  </w:footnote>
  <w:footnote w:id="51">
    <w:p w14:paraId="0A1347CB" w14:textId="29C372DE" w:rsidR="00601F98" w:rsidRDefault="00601F98">
      <w:pPr>
        <w:pStyle w:val="FootnoteText"/>
      </w:pPr>
      <w:r>
        <w:rPr>
          <w:rStyle w:val="FootnoteReference"/>
        </w:rPr>
        <w:footnoteRef/>
      </w:r>
      <w:r>
        <w:t xml:space="preserve"> Ibid.</w:t>
      </w:r>
    </w:p>
  </w:footnote>
  <w:footnote w:id="52">
    <w:p w14:paraId="4F25E029" w14:textId="454BFC12" w:rsidR="00601F98" w:rsidRDefault="00601F98">
      <w:pPr>
        <w:pStyle w:val="FootnoteText"/>
      </w:pPr>
      <w:r>
        <w:rPr>
          <w:rStyle w:val="FootnoteReference"/>
        </w:rPr>
        <w:footnoteRef/>
      </w:r>
      <w:r>
        <w:t xml:space="preserve"> Marr, C., Duke, B., and Huang, C., “New Tax Law is Fundamentally Flawed and Will Require Basic Restructuring.” </w:t>
      </w:r>
      <w:hyperlink r:id="rId41" w:history="1">
        <w:r w:rsidRPr="00FB4205">
          <w:rPr>
            <w:rStyle w:val="Hyperlink"/>
          </w:rPr>
          <w:t>https://www.cbpp.org/research/federal-tax/new-tax-law-is-fundamentally-flawed-and-will-require-basic-restructuring</w:t>
        </w:r>
      </w:hyperlink>
      <w:r>
        <w:t xml:space="preserve"> </w:t>
      </w:r>
    </w:p>
  </w:footnote>
  <w:footnote w:id="53">
    <w:p w14:paraId="51C24268" w14:textId="3FEFB476" w:rsidR="00601F98" w:rsidRDefault="00601F98">
      <w:pPr>
        <w:pStyle w:val="FootnoteText"/>
      </w:pPr>
      <w:r>
        <w:rPr>
          <w:rStyle w:val="FootnoteReference"/>
        </w:rPr>
        <w:footnoteRef/>
      </w:r>
      <w:r>
        <w:t xml:space="preserve"> Long, Heather. </w:t>
      </w:r>
      <w:r w:rsidRPr="6EAB5542">
        <w:rPr>
          <w:i/>
        </w:rPr>
        <w:t>Washington Post</w:t>
      </w:r>
      <w:r>
        <w:t>: “</w:t>
      </w:r>
      <w:r w:rsidRPr="000924A0">
        <w:t>The final GOP tax bill is complete. Here’s what is in it.</w:t>
      </w:r>
      <w:r>
        <w:t xml:space="preserve">” </w:t>
      </w:r>
      <w:hyperlink r:id="rId42" w:history="1">
        <w:r w:rsidRPr="00FA5795">
          <w:rPr>
            <w:rStyle w:val="Hyperlink"/>
          </w:rPr>
          <w:t>https://www.washingtonpost.com/news/wonk/wp/2017/12/15/the-final-gop-tax-bill-is-complete-heres-what-is-in-it/?noredirect=on&amp;utm_term=.bf09ac9e9095</w:t>
        </w:r>
      </w:hyperlink>
      <w:r>
        <w:t xml:space="preserve"> </w:t>
      </w:r>
    </w:p>
  </w:footnote>
  <w:footnote w:id="54">
    <w:p w14:paraId="5CF5E1C4" w14:textId="46FF3F46" w:rsidR="00601F98" w:rsidRDefault="00601F98">
      <w:pPr>
        <w:pStyle w:val="FootnoteText"/>
      </w:pPr>
      <w:r>
        <w:rPr>
          <w:rStyle w:val="FootnoteReference"/>
        </w:rPr>
        <w:footnoteRef/>
      </w:r>
      <w:r>
        <w:t xml:space="preserve"> Hamilton, D. and Linden, M., “Hidden Rules of Race are Embedded in the New Tax Law.” </w:t>
      </w:r>
      <w:hyperlink r:id="rId43" w:history="1">
        <w:r w:rsidRPr="000B22F2">
          <w:rPr>
            <w:rStyle w:val="Hyperlink"/>
          </w:rPr>
          <w:t>http://rooseveltinstitute.org/hidden-rules-new-tax-law/</w:t>
        </w:r>
      </w:hyperlink>
    </w:p>
  </w:footnote>
  <w:footnote w:id="55">
    <w:p w14:paraId="24517A4C" w14:textId="36754FDE" w:rsidR="00601F98" w:rsidRDefault="00601F98">
      <w:pPr>
        <w:pStyle w:val="FootnoteText"/>
      </w:pPr>
      <w:r>
        <w:rPr>
          <w:rStyle w:val="FootnoteReference"/>
        </w:rPr>
        <w:footnoteRef/>
      </w:r>
      <w:r>
        <w:t xml:space="preserve"> Brown Jr., L. and McCulloch, H., “Building an Equitable Tax Code: A Primer for Advocates.” </w:t>
      </w:r>
      <w:hyperlink r:id="rId44" w:history="1">
        <w:r w:rsidRPr="000B22F2">
          <w:rPr>
            <w:rStyle w:val="Hyperlink"/>
          </w:rPr>
          <w:t>https://www.policylink.org/sites/default/files/pl_brief_tax_110714_c_0.pdf</w:t>
        </w:r>
      </w:hyperlink>
    </w:p>
  </w:footnote>
  <w:footnote w:id="56">
    <w:p w14:paraId="3E88E773" w14:textId="11D949EA" w:rsidR="00601F98" w:rsidRDefault="00601F98">
      <w:pPr>
        <w:pStyle w:val="FootnoteText"/>
      </w:pPr>
      <w:r>
        <w:rPr>
          <w:rStyle w:val="FootnoteReference"/>
        </w:rPr>
        <w:footnoteRef/>
      </w:r>
      <w:r>
        <w:t xml:space="preserve"> Asante-Muhammad, D. et al., “The Road to Zero Wealth: How the Racial Wealth Divide is Hollowing Out America’s Middle Class.” </w:t>
      </w:r>
      <w:hyperlink r:id="rId45" w:history="1">
        <w:r w:rsidRPr="000916E0">
          <w:rPr>
            <w:rStyle w:val="Hyperlink"/>
          </w:rPr>
          <w:t>https://ips-dc.org/wp-content/uploads/2017/09/The-Road-to-Zero-Wealth_FINAL.pdf</w:t>
        </w:r>
      </w:hyperlink>
      <w:r>
        <w:t xml:space="preserve"> </w:t>
      </w:r>
    </w:p>
  </w:footnote>
  <w:footnote w:id="57">
    <w:p w14:paraId="7A69B0B0" w14:textId="4F760649" w:rsidR="00601F98" w:rsidRDefault="00601F98">
      <w:pPr>
        <w:pStyle w:val="FootnoteText"/>
      </w:pPr>
      <w:r>
        <w:rPr>
          <w:rStyle w:val="FootnoteReference"/>
        </w:rPr>
        <w:footnoteRef/>
      </w:r>
      <w:r>
        <w:t xml:space="preserve"> Newville, D. and Nieves, E., “Wealth Building through the Tax Code Continues for the Wealthy as Families of Color Fall Behind.” </w:t>
      </w:r>
      <w:hyperlink r:id="rId46" w:history="1">
        <w:r w:rsidRPr="000916E0">
          <w:rPr>
            <w:rStyle w:val="Hyperlink"/>
          </w:rPr>
          <w:t>https://prosperitynow.org/blog/wealth-building-wealthy-through-tax-code-continues-families-color-fall-further-behind</w:t>
        </w:r>
      </w:hyperlink>
      <w:r>
        <w:t xml:space="preserve"> </w:t>
      </w:r>
    </w:p>
  </w:footnote>
  <w:footnote w:id="58">
    <w:p w14:paraId="352D44A9" w14:textId="207C699C" w:rsidR="00601F98" w:rsidRDefault="00601F98">
      <w:pPr>
        <w:pStyle w:val="FootnoteText"/>
      </w:pPr>
      <w:r>
        <w:rPr>
          <w:rStyle w:val="FootnoteReference"/>
        </w:rPr>
        <w:footnoteRef/>
      </w:r>
      <w:r>
        <w:t xml:space="preserve"> Center for Budget and Policy Priorities, “Policy Basics: The Earned Income Tax Credit.” </w:t>
      </w:r>
      <w:hyperlink r:id="rId47" w:history="1">
        <w:r w:rsidRPr="000B22F2">
          <w:rPr>
            <w:rStyle w:val="Hyperlink"/>
          </w:rPr>
          <w:t>https://www.cbpp.org/research/federal-tax/policy-basics-the-earned-income-tax-credit</w:t>
        </w:r>
      </w:hyperlink>
    </w:p>
  </w:footnote>
  <w:footnote w:id="59">
    <w:p w14:paraId="507481A3" w14:textId="7821DFCB" w:rsidR="00601F98" w:rsidRDefault="00601F98">
      <w:pPr>
        <w:pStyle w:val="FootnoteText"/>
      </w:pPr>
      <w:r>
        <w:rPr>
          <w:rStyle w:val="FootnoteReference"/>
        </w:rPr>
        <w:footnoteRef/>
      </w:r>
      <w:r>
        <w:t xml:space="preserve"> Darity Jr., W. et al., “What We Get Wrong About Closing the Racial Wealth Gap.” </w:t>
      </w:r>
      <w:hyperlink r:id="rId48" w:history="1">
        <w:r w:rsidRPr="000B22F2">
          <w:rPr>
            <w:rStyle w:val="Hyperlink"/>
          </w:rPr>
          <w:t>https://socialequity.duke.edu/sites/socialequity.duke.edu/files/site-images/FINAL%20COMPLETE%20REPORT_.pdf</w:t>
        </w:r>
      </w:hyperlink>
    </w:p>
  </w:footnote>
  <w:footnote w:id="60">
    <w:p w14:paraId="4BC3C7A8" w14:textId="315DC735" w:rsidR="00601F98" w:rsidRDefault="00601F98">
      <w:pPr>
        <w:pStyle w:val="FootnoteText"/>
      </w:pPr>
      <w:r>
        <w:rPr>
          <w:rStyle w:val="FootnoteReference"/>
        </w:rPr>
        <w:footnoteRef/>
      </w:r>
      <w:r>
        <w:t xml:space="preserve"> Ibid. </w:t>
      </w:r>
      <w:r w:rsidDel="000E7E94">
        <w:t xml:space="preserve"> </w:t>
      </w:r>
    </w:p>
  </w:footnote>
  <w:footnote w:id="61">
    <w:p w14:paraId="3C661A75" w14:textId="72131127" w:rsidR="00601F98" w:rsidRDefault="00601F98">
      <w:pPr>
        <w:pStyle w:val="FootnoteText"/>
      </w:pPr>
      <w:r>
        <w:rPr>
          <w:rStyle w:val="FootnoteReference"/>
        </w:rPr>
        <w:footnoteRef/>
      </w:r>
      <w:r>
        <w:t xml:space="preserve"> Institute on Assets and Social Policy, “The Racial Wealth Audit.” </w:t>
      </w:r>
      <w:hyperlink r:id="rId49" w:history="1">
        <w:r w:rsidRPr="00FB4205">
          <w:rPr>
            <w:rStyle w:val="Hyperlink"/>
          </w:rPr>
          <w:t>https://iasp.brandeis.edu/research/RWG/RWA.html</w:t>
        </w:r>
      </w:hyperlink>
      <w:r>
        <w:t xml:space="preserve"> </w:t>
      </w:r>
    </w:p>
  </w:footnote>
  <w:footnote w:id="62">
    <w:p w14:paraId="59DAAA62" w14:textId="4D022660" w:rsidR="00601F98" w:rsidRDefault="00601F98">
      <w:pPr>
        <w:pStyle w:val="FootnoteText"/>
      </w:pPr>
      <w:r>
        <w:rPr>
          <w:rStyle w:val="FootnoteReference"/>
        </w:rPr>
        <w:footnoteRef/>
      </w:r>
      <w:r>
        <w:t xml:space="preserve"> </w:t>
      </w:r>
      <w:r w:rsidRPr="00BD4FEC">
        <w:t xml:space="preserve">Prosperity Now, “The Ever-Growing Gap: Without Change African American and Latino Families Won’t Match White Wealth for Centuries.” </w:t>
      </w:r>
      <w:hyperlink r:id="rId50" w:history="1">
        <w:r w:rsidRPr="00BD4FEC">
          <w:rPr>
            <w:rStyle w:val="Hyperlink"/>
          </w:rPr>
          <w:t>https://prosperitynow.org/files/resources/The_Ever_Growing_Gap-CFED_IPS-Final.pdf</w:t>
        </w:r>
      </w:hyperlink>
    </w:p>
  </w:footnote>
  <w:footnote w:id="63">
    <w:p w14:paraId="3D82125C" w14:textId="2D4FB6F9" w:rsidR="00601F98" w:rsidRDefault="00601F98">
      <w:pPr>
        <w:pStyle w:val="FootnoteText"/>
      </w:pPr>
      <w:r>
        <w:rPr>
          <w:rStyle w:val="FootnoteReference"/>
        </w:rPr>
        <w:footnoteRef/>
      </w:r>
      <w:r>
        <w:t xml:space="preserve"> Center on Budget and Policy Priorities, “Policy Basics: The Child Tax Credit.” </w:t>
      </w:r>
      <w:hyperlink r:id="rId51" w:history="1">
        <w:r w:rsidRPr="00FB4205">
          <w:rPr>
            <w:rStyle w:val="Hyperlink"/>
          </w:rPr>
          <w:t>https://www.cbpp.org/research/federal-tax/policy-basics-the-child-tax-credit</w:t>
        </w:r>
      </w:hyperlink>
      <w:r>
        <w:t xml:space="preserve"> </w:t>
      </w:r>
    </w:p>
  </w:footnote>
  <w:footnote w:id="64">
    <w:p w14:paraId="78A62234" w14:textId="0B2BB34F" w:rsidR="00601F98" w:rsidRDefault="00601F98">
      <w:pPr>
        <w:pStyle w:val="FootnoteText"/>
      </w:pPr>
      <w:r>
        <w:rPr>
          <w:rStyle w:val="FootnoteReference"/>
        </w:rPr>
        <w:footnoteRef/>
      </w:r>
      <w:r>
        <w:t xml:space="preserve"> Stein, Jeff, </w:t>
      </w:r>
      <w:r w:rsidRPr="6EAB5542">
        <w:rPr>
          <w:i/>
        </w:rPr>
        <w:t>The Washington Post:</w:t>
      </w:r>
      <w:r>
        <w:t xml:space="preserve"> “How 12 Experts Would End Inequality if They Ran America.” </w:t>
      </w:r>
      <w:hyperlink r:id="rId52" w:history="1">
        <w:r w:rsidRPr="004513DA">
          <w:rPr>
            <w:rStyle w:val="Hyperlink"/>
          </w:rPr>
          <w:t>https://www.washingtonpost.com/news/wonk/wp/2018/04/06/how-12-experts-would-end-inequality-if-they-ran-america/?noredirect=on&amp;utm_term=.e09da5773ccc</w:t>
        </w:r>
      </w:hyperlink>
    </w:p>
  </w:footnote>
  <w:footnote w:id="65">
    <w:p w14:paraId="69212A5C" w14:textId="09D79172" w:rsidR="00601F98" w:rsidRDefault="00601F98">
      <w:pPr>
        <w:pStyle w:val="FootnoteText"/>
      </w:pPr>
      <w:r>
        <w:rPr>
          <w:rStyle w:val="FootnoteReference"/>
        </w:rPr>
        <w:footnoteRef/>
      </w:r>
      <w:r>
        <w:t xml:space="preserve"> Chopra, A. et al., “A Down Payment on the Divide: Steps to Ease Racial Inequality in Homeownership.” </w:t>
      </w:r>
      <w:hyperlink r:id="rId53" w:history="1">
        <w:r w:rsidRPr="004513DA">
          <w:rPr>
            <w:rStyle w:val="Hyperlink"/>
          </w:rPr>
          <w:t>https://prosperitynow.org/files/resources/a_downpayment_on_the_divide_03-2017.pdf</w:t>
        </w:r>
      </w:hyperlink>
    </w:p>
  </w:footnote>
  <w:footnote w:id="66">
    <w:p w14:paraId="59B35C3E" w14:textId="07829CD4" w:rsidR="00601F98" w:rsidRDefault="00601F98">
      <w:pPr>
        <w:pStyle w:val="FootnoteText"/>
      </w:pPr>
      <w:r>
        <w:rPr>
          <w:rStyle w:val="FootnoteReference"/>
        </w:rPr>
        <w:footnoteRef/>
      </w:r>
      <w:r>
        <w:t xml:space="preserve"> Ibid</w:t>
      </w:r>
    </w:p>
  </w:footnote>
  <w:footnote w:id="67">
    <w:p w14:paraId="1E179FCD" w14:textId="117674CF" w:rsidR="00601F98" w:rsidRPr="00F6022F" w:rsidRDefault="00601F98">
      <w:pPr>
        <w:pStyle w:val="FootnoteText"/>
        <w:rPr>
          <w:lang w:val="es-ES"/>
        </w:rPr>
      </w:pPr>
      <w:r>
        <w:rPr>
          <w:rStyle w:val="FootnoteReference"/>
        </w:rPr>
        <w:footnoteRef/>
      </w:r>
      <w:r>
        <w:t xml:space="preserve"> National Low-Income Housing Coalition, “The Gap: A Shortage of Affordable Homes, 2017.” </w:t>
      </w:r>
      <w:hyperlink r:id="rId54" w:history="1">
        <w:r w:rsidRPr="00F6022F">
          <w:rPr>
            <w:rStyle w:val="Hyperlink"/>
            <w:lang w:val="es-ES"/>
          </w:rPr>
          <w:t>http://nlihc.org/sites/default/files/Gap-Report_2017.pdf</w:t>
        </w:r>
      </w:hyperlink>
    </w:p>
  </w:footnote>
  <w:footnote w:id="68">
    <w:p w14:paraId="0A0A896A" w14:textId="08D448B4" w:rsidR="00601F98" w:rsidRPr="00F6022F" w:rsidRDefault="00601F98">
      <w:pPr>
        <w:pStyle w:val="FootnoteText"/>
        <w:rPr>
          <w:lang w:val="es-ES"/>
        </w:rPr>
      </w:pPr>
      <w:r>
        <w:rPr>
          <w:rStyle w:val="FootnoteReference"/>
        </w:rPr>
        <w:footnoteRef/>
      </w:r>
      <w:r w:rsidRPr="00F6022F">
        <w:rPr>
          <w:lang w:val="es-ES"/>
        </w:rPr>
        <w:t xml:space="preserve"> Ibid. </w:t>
      </w:r>
    </w:p>
  </w:footnote>
  <w:footnote w:id="69">
    <w:p w14:paraId="7DDD08A3" w14:textId="651773D1" w:rsidR="00601F98" w:rsidRDefault="00601F98">
      <w:pPr>
        <w:pStyle w:val="FootnoteText"/>
      </w:pPr>
      <w:r>
        <w:rPr>
          <w:rStyle w:val="FootnoteReference"/>
        </w:rPr>
        <w:footnoteRef/>
      </w:r>
      <w:r>
        <w:t xml:space="preserve"> Sard, B. et al., “Helping Young Children Move Out of Poverty by Creating a New Type of Rental Voucher.” </w:t>
      </w:r>
      <w:hyperlink r:id="rId55" w:history="1">
        <w:r w:rsidRPr="004513DA">
          <w:rPr>
            <w:rStyle w:val="Hyperlink"/>
          </w:rPr>
          <w:t>https://www.mobilitypartnership.org/helping-young-children-move-out-poverty-creating-new-type-rental-voucher</w:t>
        </w:r>
      </w:hyperlink>
    </w:p>
  </w:footnote>
  <w:footnote w:id="70">
    <w:p w14:paraId="61B0D661" w14:textId="0B934A22" w:rsidR="00601F98" w:rsidRDefault="00601F98">
      <w:pPr>
        <w:pStyle w:val="FootnoteText"/>
      </w:pPr>
      <w:r>
        <w:rPr>
          <w:rStyle w:val="FootnoteReference"/>
        </w:rPr>
        <w:footnoteRef/>
      </w:r>
      <w:r>
        <w:t xml:space="preserve"> Ibid</w:t>
      </w:r>
    </w:p>
  </w:footnote>
  <w:footnote w:id="71">
    <w:p w14:paraId="349BA5C7" w14:textId="03EA9BB2" w:rsidR="00601F98" w:rsidRDefault="00601F98">
      <w:pPr>
        <w:pStyle w:val="FootnoteText"/>
      </w:pPr>
      <w:r>
        <w:rPr>
          <w:rStyle w:val="FootnoteReference"/>
        </w:rPr>
        <w:footnoteRef/>
      </w:r>
      <w:r>
        <w:t xml:space="preserve"> National Low-Income Housing Coalition, “Emergency Rental Assistance Program (ERAP).” </w:t>
      </w:r>
      <w:hyperlink r:id="rId56" w:history="1">
        <w:r w:rsidRPr="004513DA">
          <w:rPr>
            <w:rStyle w:val="Hyperlink"/>
          </w:rPr>
          <w:t>http://nlihc.org/rental-programs/catalog/emergency-rental-assistance-program-erap</w:t>
        </w:r>
      </w:hyperlink>
    </w:p>
  </w:footnote>
  <w:footnote w:id="72">
    <w:p w14:paraId="7565DCF3" w14:textId="0D7271F8" w:rsidR="00601F98" w:rsidRDefault="00601F98">
      <w:pPr>
        <w:pStyle w:val="FootnoteText"/>
      </w:pPr>
      <w:r>
        <w:rPr>
          <w:rStyle w:val="FootnoteReference"/>
        </w:rPr>
        <w:footnoteRef/>
      </w:r>
      <w:r>
        <w:t xml:space="preserve"> Affordable Housing Online, “Source of Income Discrimination in Housing.” </w:t>
      </w:r>
      <w:hyperlink r:id="rId57" w:history="1">
        <w:r w:rsidRPr="004513DA">
          <w:rPr>
            <w:rStyle w:val="Hyperlink"/>
          </w:rPr>
          <w:t>https://affordablehousingonline.com/source-of-income-antidiscrimination-laws</w:t>
        </w:r>
      </w:hyperlink>
    </w:p>
  </w:footnote>
  <w:footnote w:id="73">
    <w:p w14:paraId="407DE52A" w14:textId="519BBC85" w:rsidR="00601F98" w:rsidRDefault="00601F98">
      <w:pPr>
        <w:pStyle w:val="FootnoteText"/>
      </w:pPr>
      <w:r>
        <w:rPr>
          <w:rStyle w:val="FootnoteReference"/>
        </w:rPr>
        <w:footnoteRef/>
      </w:r>
      <w:r>
        <w:t xml:space="preserve"> Fischer, Will, Center on Budget and Policy Priorities: “Renter’s Tax Credit Would Complement Existing Housing Development Credit.” </w:t>
      </w:r>
      <w:hyperlink r:id="rId58" w:history="1">
        <w:r w:rsidRPr="004513DA">
          <w:rPr>
            <w:rStyle w:val="Hyperlink"/>
          </w:rPr>
          <w:t>https://www.cbpp.org/blog/renters-tax-credit-would-complement-existing-housing-development-credit</w:t>
        </w:r>
      </w:hyperlink>
    </w:p>
  </w:footnote>
  <w:footnote w:id="74">
    <w:p w14:paraId="73BF8D8A" w14:textId="471F1FD8" w:rsidR="00601F98" w:rsidRDefault="00601F98">
      <w:pPr>
        <w:pStyle w:val="FootnoteText"/>
      </w:pPr>
      <w:r>
        <w:rPr>
          <w:rStyle w:val="FootnoteReference"/>
        </w:rPr>
        <w:footnoteRef/>
      </w:r>
      <w:r>
        <w:t xml:space="preserve"> Fischer, Will, Center on Budget and Policy Priorities: “</w:t>
      </w:r>
      <w:hyperlink r:id="rId59" w:history="1">
        <w:r w:rsidRPr="00BA5109">
          <w:rPr>
            <w:rStyle w:val="Hyperlink"/>
          </w:rPr>
          <w:t>Trump Plan Would Raise Rents on Working Families, Elderly, People with Disabilities</w:t>
        </w:r>
      </w:hyperlink>
      <w:r>
        <w:t xml:space="preserve">.”    </w:t>
      </w:r>
    </w:p>
  </w:footnote>
  <w:footnote w:id="75">
    <w:p w14:paraId="7E47386E" w14:textId="56A7AD16" w:rsidR="00601F98" w:rsidRDefault="00601F98">
      <w:pPr>
        <w:pStyle w:val="FootnoteText"/>
      </w:pPr>
      <w:r>
        <w:rPr>
          <w:rStyle w:val="FootnoteReference"/>
        </w:rPr>
        <w:footnoteRef/>
      </w:r>
      <w:r>
        <w:t xml:space="preserve"> Elayne Weiss, National Low Income Housing Coalition: “Proposed Bill Would Significantly Reduce the Effectiveness of the Nation’s Rental Assistance Programs.” </w:t>
      </w:r>
      <w:hyperlink r:id="rId60" w:history="1">
        <w:r w:rsidRPr="00BA5109">
          <w:rPr>
            <w:rStyle w:val="Hyperlink"/>
          </w:rPr>
          <w:t>http://nlihc.org/sites/default/files/Ross-Rent-Proposal_0418.pdf</w:t>
        </w:r>
      </w:hyperlink>
    </w:p>
    <w:p w14:paraId="5B58250E" w14:textId="77777777" w:rsidR="00601F98" w:rsidRDefault="00601F98">
      <w:pPr>
        <w:pStyle w:val="FootnoteText"/>
      </w:pPr>
    </w:p>
  </w:footnote>
  <w:footnote w:id="76">
    <w:p w14:paraId="25FD3F85" w14:textId="3EB98506" w:rsidR="00601F98" w:rsidRDefault="00601F98">
      <w:pPr>
        <w:pStyle w:val="FootnoteText"/>
      </w:pPr>
      <w:r>
        <w:rPr>
          <w:rStyle w:val="FootnoteReference"/>
        </w:rPr>
        <w:footnoteRef/>
      </w:r>
      <w:r>
        <w:t xml:space="preserve"> Kimura, Donna, “LIHTC Increase Included in Spending Bill.” </w:t>
      </w:r>
      <w:hyperlink r:id="rId61" w:history="1">
        <w:r w:rsidRPr="002D617E">
          <w:rPr>
            <w:rStyle w:val="Hyperlink"/>
          </w:rPr>
          <w:t>http://www.housingfinance.com/policy-legislation/lihtc-increase-included-in-spending-bill_o</w:t>
        </w:r>
      </w:hyperlink>
      <w:r>
        <w:t xml:space="preserve"> </w:t>
      </w:r>
    </w:p>
    <w:p w14:paraId="6BD239AD" w14:textId="3026CF82" w:rsidR="00AD1105" w:rsidRPr="00AD1105" w:rsidRDefault="00AD1105" w:rsidP="00AD1105">
      <w:pPr>
        <w:pStyle w:val="FootnoteText"/>
      </w:pPr>
      <w:r>
        <w:t xml:space="preserve">Note: Income-averaging provision allows </w:t>
      </w:r>
      <w:r w:rsidRPr="00AD1105">
        <w:t>some housing credit units to be affordable at 80% of area median income (AMI), as long as the development-wide average is 60% AMI or less </w:t>
      </w:r>
    </w:p>
    <w:p w14:paraId="6E30FDD6" w14:textId="74787C41" w:rsidR="00AD1105" w:rsidRDefault="00AD1105">
      <w:pPr>
        <w:pStyle w:val="FootnoteText"/>
      </w:pPr>
    </w:p>
  </w:footnote>
  <w:footnote w:id="77">
    <w:p w14:paraId="551CE851" w14:textId="26E440C7" w:rsidR="00601F98" w:rsidRDefault="00601F98">
      <w:pPr>
        <w:pStyle w:val="FootnoteText"/>
      </w:pPr>
      <w:r>
        <w:rPr>
          <w:rStyle w:val="FootnoteReference"/>
        </w:rPr>
        <w:footnoteRef/>
      </w:r>
      <w:r>
        <w:t xml:space="preserve"> Novogradac, Michael, “Final Tax Reform Bill Would Reduce Affordable Rental Housing Production by Nearly 235,000 Homes.” </w:t>
      </w:r>
      <w:hyperlink r:id="rId62" w:history="1">
        <w:r w:rsidRPr="002D617E">
          <w:rPr>
            <w:rStyle w:val="Hyperlink"/>
          </w:rPr>
          <w:t>https://www.novoco.com/notes-from-novogradac/final-tax-reform-bill-would-reduce-affordable-rental-housing-production-nearly-235000-homes</w:t>
        </w:r>
      </w:hyperlink>
      <w:r>
        <w:t xml:space="preserve"> </w:t>
      </w:r>
    </w:p>
  </w:footnote>
  <w:footnote w:id="78">
    <w:p w14:paraId="2AB918B3" w14:textId="3D750A38" w:rsidR="00601F98" w:rsidRDefault="00601F98">
      <w:pPr>
        <w:pStyle w:val="FootnoteText"/>
      </w:pPr>
      <w:r>
        <w:rPr>
          <w:rStyle w:val="FootnoteReference"/>
        </w:rPr>
        <w:footnoteRef/>
      </w:r>
      <w:r>
        <w:t xml:space="preserve"> Bell, Alison, Center on Budget and Policy Priorities: “House Approval of Housing Voucher Mobility Demonstration is Encouraging.” </w:t>
      </w:r>
      <w:hyperlink r:id="rId63" w:history="1">
        <w:r w:rsidRPr="002D617E">
          <w:rPr>
            <w:rStyle w:val="Hyperlink"/>
          </w:rPr>
          <w:t>https://www.cbpp.org/blog/house-approval-of-housing-voucher-mobility-demonstration-is-encouraging</w:t>
        </w:r>
      </w:hyperlink>
      <w:r>
        <w:t xml:space="preserve"> </w:t>
      </w:r>
    </w:p>
  </w:footnote>
  <w:footnote w:id="79">
    <w:p w14:paraId="794CA432" w14:textId="7E0735EE" w:rsidR="00601F98" w:rsidRDefault="00601F98">
      <w:pPr>
        <w:pStyle w:val="FootnoteText"/>
      </w:pPr>
      <w:r>
        <w:rPr>
          <w:rStyle w:val="FootnoteReference"/>
        </w:rPr>
        <w:footnoteRef/>
      </w:r>
      <w:r>
        <w:t xml:space="preserve"> Stein, Jeff, </w:t>
      </w:r>
      <w:r w:rsidRPr="00601F98">
        <w:rPr>
          <w:i/>
        </w:rPr>
        <w:t>The Washington Post:</w:t>
      </w:r>
      <w:r>
        <w:t xml:space="preserve"> “Housing for All: Democrats Push for Big Government Response to Soaring Rents.” </w:t>
      </w:r>
      <w:hyperlink r:id="rId64" w:history="1">
        <w:r w:rsidRPr="004C09CA">
          <w:rPr>
            <w:rStyle w:val="Hyperlink"/>
          </w:rPr>
          <w:t>https://www.washingtonpost.com/amphtml/business/2018/07/19/rents-soar-democrats-push-new-policies-affordable-housing/?noredirect=on&amp;__twitter_impression=true</w:t>
        </w:r>
      </w:hyperlink>
      <w:r>
        <w:t xml:space="preserve"> </w:t>
      </w:r>
    </w:p>
  </w:footnote>
  <w:footnote w:id="80">
    <w:p w14:paraId="4B5ABDC3" w14:textId="45638DB4" w:rsidR="00601F98" w:rsidRDefault="00601F98">
      <w:pPr>
        <w:pStyle w:val="FootnoteText"/>
      </w:pPr>
      <w:r>
        <w:rPr>
          <w:rStyle w:val="FootnoteReference"/>
        </w:rPr>
        <w:footnoteRef/>
      </w:r>
      <w:r>
        <w:t xml:space="preserve"> Chopra, Anju, Prosperity Now: “A Bill for Inclusive Credit Scores Could Narrow the Racial Wealth Gap and Build Financial Security.” </w:t>
      </w:r>
      <w:hyperlink r:id="rId65" w:history="1">
        <w:r w:rsidRPr="002D617E">
          <w:rPr>
            <w:rStyle w:val="Hyperlink"/>
          </w:rPr>
          <w:t>https://prosperitynow.org/blog/bill-inclusive-credit-scores-could-narrow-racial-wealth-gap-and-build-financial-security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601F98" w14:paraId="0B103A04" w14:textId="77777777" w:rsidTr="2C536D28">
      <w:tc>
        <w:tcPr>
          <w:tcW w:w="3120" w:type="dxa"/>
        </w:tcPr>
        <w:p w14:paraId="484FBE84" w14:textId="046A6E89" w:rsidR="00601F98" w:rsidRDefault="00601F98" w:rsidP="2C536D28">
          <w:pPr>
            <w:pStyle w:val="Header"/>
            <w:ind w:left="-115"/>
          </w:pPr>
        </w:p>
      </w:tc>
      <w:tc>
        <w:tcPr>
          <w:tcW w:w="3120" w:type="dxa"/>
        </w:tcPr>
        <w:p w14:paraId="3B42BFD2" w14:textId="3994046B" w:rsidR="00601F98" w:rsidRDefault="00601F98" w:rsidP="2C536D28">
          <w:pPr>
            <w:pStyle w:val="Header"/>
            <w:jc w:val="center"/>
          </w:pPr>
        </w:p>
      </w:tc>
      <w:tc>
        <w:tcPr>
          <w:tcW w:w="3120" w:type="dxa"/>
        </w:tcPr>
        <w:p w14:paraId="447D5D07" w14:textId="50C5C5D5" w:rsidR="00601F98" w:rsidRDefault="00601F98" w:rsidP="2C536D28">
          <w:pPr>
            <w:pStyle w:val="Header"/>
            <w:ind w:right="-115"/>
            <w:jc w:val="right"/>
          </w:pPr>
        </w:p>
      </w:tc>
    </w:tr>
  </w:tbl>
  <w:p w14:paraId="2DDF7027" w14:textId="7FD59284" w:rsidR="00601F98" w:rsidRDefault="00601F98" w:rsidP="2C536D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6195A"/>
    <w:multiLevelType w:val="multilevel"/>
    <w:tmpl w:val="881C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A10D44"/>
    <w:multiLevelType w:val="multilevel"/>
    <w:tmpl w:val="4596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CD1F51"/>
    <w:multiLevelType w:val="multilevel"/>
    <w:tmpl w:val="5EDEC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210178"/>
    <w:multiLevelType w:val="multilevel"/>
    <w:tmpl w:val="2C760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F2047B"/>
    <w:multiLevelType w:val="multilevel"/>
    <w:tmpl w:val="431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973803"/>
    <w:multiLevelType w:val="hybridMultilevel"/>
    <w:tmpl w:val="FAB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FC1761"/>
    <w:multiLevelType w:val="multilevel"/>
    <w:tmpl w:val="36D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AB08D9"/>
    <w:multiLevelType w:val="hybridMultilevel"/>
    <w:tmpl w:val="2E502EC2"/>
    <w:lvl w:ilvl="0" w:tplc="440C03DA">
      <w:start w:val="1"/>
      <w:numFmt w:val="bullet"/>
      <w:lvlText w:val=""/>
      <w:lvlJc w:val="left"/>
      <w:pPr>
        <w:ind w:left="720" w:hanging="360"/>
      </w:pPr>
      <w:rPr>
        <w:rFonts w:ascii="Symbol" w:hAnsi="Symbol" w:hint="default"/>
      </w:rPr>
    </w:lvl>
    <w:lvl w:ilvl="1" w:tplc="2424EBEE">
      <w:start w:val="1"/>
      <w:numFmt w:val="bullet"/>
      <w:lvlText w:val="o"/>
      <w:lvlJc w:val="left"/>
      <w:pPr>
        <w:ind w:left="1440" w:hanging="360"/>
      </w:pPr>
      <w:rPr>
        <w:rFonts w:ascii="Courier New" w:hAnsi="Courier New" w:hint="default"/>
      </w:rPr>
    </w:lvl>
    <w:lvl w:ilvl="2" w:tplc="893EABB4">
      <w:start w:val="1"/>
      <w:numFmt w:val="bullet"/>
      <w:lvlText w:val=""/>
      <w:lvlJc w:val="left"/>
      <w:pPr>
        <w:ind w:left="2160" w:hanging="360"/>
      </w:pPr>
      <w:rPr>
        <w:rFonts w:ascii="Wingdings" w:hAnsi="Wingdings" w:hint="default"/>
      </w:rPr>
    </w:lvl>
    <w:lvl w:ilvl="3" w:tplc="8E247090">
      <w:start w:val="1"/>
      <w:numFmt w:val="bullet"/>
      <w:lvlText w:val=""/>
      <w:lvlJc w:val="left"/>
      <w:pPr>
        <w:ind w:left="2880" w:hanging="360"/>
      </w:pPr>
      <w:rPr>
        <w:rFonts w:ascii="Symbol" w:hAnsi="Symbol" w:hint="default"/>
      </w:rPr>
    </w:lvl>
    <w:lvl w:ilvl="4" w:tplc="AA9A47CA">
      <w:start w:val="1"/>
      <w:numFmt w:val="bullet"/>
      <w:lvlText w:val="o"/>
      <w:lvlJc w:val="left"/>
      <w:pPr>
        <w:ind w:left="3600" w:hanging="360"/>
      </w:pPr>
      <w:rPr>
        <w:rFonts w:ascii="Courier New" w:hAnsi="Courier New" w:hint="default"/>
      </w:rPr>
    </w:lvl>
    <w:lvl w:ilvl="5" w:tplc="A2E81568">
      <w:start w:val="1"/>
      <w:numFmt w:val="bullet"/>
      <w:lvlText w:val=""/>
      <w:lvlJc w:val="left"/>
      <w:pPr>
        <w:ind w:left="4320" w:hanging="360"/>
      </w:pPr>
      <w:rPr>
        <w:rFonts w:ascii="Wingdings" w:hAnsi="Wingdings" w:hint="default"/>
      </w:rPr>
    </w:lvl>
    <w:lvl w:ilvl="6" w:tplc="8018BFB6">
      <w:start w:val="1"/>
      <w:numFmt w:val="bullet"/>
      <w:lvlText w:val=""/>
      <w:lvlJc w:val="left"/>
      <w:pPr>
        <w:ind w:left="5040" w:hanging="360"/>
      </w:pPr>
      <w:rPr>
        <w:rFonts w:ascii="Symbol" w:hAnsi="Symbol" w:hint="default"/>
      </w:rPr>
    </w:lvl>
    <w:lvl w:ilvl="7" w:tplc="3D425F14">
      <w:start w:val="1"/>
      <w:numFmt w:val="bullet"/>
      <w:lvlText w:val="o"/>
      <w:lvlJc w:val="left"/>
      <w:pPr>
        <w:ind w:left="5760" w:hanging="360"/>
      </w:pPr>
      <w:rPr>
        <w:rFonts w:ascii="Courier New" w:hAnsi="Courier New" w:hint="default"/>
      </w:rPr>
    </w:lvl>
    <w:lvl w:ilvl="8" w:tplc="1C461142">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3"/>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BA"/>
    <w:rsid w:val="00002656"/>
    <w:rsid w:val="00004DAD"/>
    <w:rsid w:val="00011356"/>
    <w:rsid w:val="00016ABA"/>
    <w:rsid w:val="00016E40"/>
    <w:rsid w:val="000224C8"/>
    <w:rsid w:val="00024243"/>
    <w:rsid w:val="00030705"/>
    <w:rsid w:val="00036772"/>
    <w:rsid w:val="00051D40"/>
    <w:rsid w:val="000534C1"/>
    <w:rsid w:val="000549FF"/>
    <w:rsid w:val="00060E2B"/>
    <w:rsid w:val="00061179"/>
    <w:rsid w:val="00073957"/>
    <w:rsid w:val="00080DD7"/>
    <w:rsid w:val="0008600D"/>
    <w:rsid w:val="00086BBF"/>
    <w:rsid w:val="00087524"/>
    <w:rsid w:val="0009178F"/>
    <w:rsid w:val="000924A0"/>
    <w:rsid w:val="00093297"/>
    <w:rsid w:val="00096789"/>
    <w:rsid w:val="00097BD7"/>
    <w:rsid w:val="000A7B50"/>
    <w:rsid w:val="000A7F9A"/>
    <w:rsid w:val="000B07EB"/>
    <w:rsid w:val="000B589F"/>
    <w:rsid w:val="000B6A43"/>
    <w:rsid w:val="000C6356"/>
    <w:rsid w:val="000D20D9"/>
    <w:rsid w:val="000D4F78"/>
    <w:rsid w:val="000D75F4"/>
    <w:rsid w:val="000E7E94"/>
    <w:rsid w:val="00110D45"/>
    <w:rsid w:val="0011470B"/>
    <w:rsid w:val="00122CFF"/>
    <w:rsid w:val="00131935"/>
    <w:rsid w:val="00150761"/>
    <w:rsid w:val="00156C8A"/>
    <w:rsid w:val="00157C31"/>
    <w:rsid w:val="00163F3D"/>
    <w:rsid w:val="00173B34"/>
    <w:rsid w:val="00175E19"/>
    <w:rsid w:val="00186556"/>
    <w:rsid w:val="00192D0A"/>
    <w:rsid w:val="00192EF6"/>
    <w:rsid w:val="001A0797"/>
    <w:rsid w:val="001C330A"/>
    <w:rsid w:val="001D4658"/>
    <w:rsid w:val="001E2E1C"/>
    <w:rsid w:val="001E4746"/>
    <w:rsid w:val="001E6C19"/>
    <w:rsid w:val="002031D4"/>
    <w:rsid w:val="002033AD"/>
    <w:rsid w:val="002052B3"/>
    <w:rsid w:val="00205AEF"/>
    <w:rsid w:val="002209B9"/>
    <w:rsid w:val="00223C0E"/>
    <w:rsid w:val="0023732C"/>
    <w:rsid w:val="00237DF4"/>
    <w:rsid w:val="00241EAB"/>
    <w:rsid w:val="00243B9D"/>
    <w:rsid w:val="00245145"/>
    <w:rsid w:val="00247284"/>
    <w:rsid w:val="00247566"/>
    <w:rsid w:val="00250413"/>
    <w:rsid w:val="00271A21"/>
    <w:rsid w:val="00271F0C"/>
    <w:rsid w:val="00274C53"/>
    <w:rsid w:val="0027779C"/>
    <w:rsid w:val="002860A4"/>
    <w:rsid w:val="002860D4"/>
    <w:rsid w:val="00287AF8"/>
    <w:rsid w:val="00290A11"/>
    <w:rsid w:val="00292F63"/>
    <w:rsid w:val="002938EC"/>
    <w:rsid w:val="002962CF"/>
    <w:rsid w:val="002A4C43"/>
    <w:rsid w:val="002B319C"/>
    <w:rsid w:val="002B487F"/>
    <w:rsid w:val="002B539D"/>
    <w:rsid w:val="002C0F3E"/>
    <w:rsid w:val="002C3CAF"/>
    <w:rsid w:val="002D395F"/>
    <w:rsid w:val="002D5035"/>
    <w:rsid w:val="002D6167"/>
    <w:rsid w:val="002E441C"/>
    <w:rsid w:val="002F0281"/>
    <w:rsid w:val="002F2E9E"/>
    <w:rsid w:val="002F33BB"/>
    <w:rsid w:val="0030059B"/>
    <w:rsid w:val="00310522"/>
    <w:rsid w:val="00310652"/>
    <w:rsid w:val="003168EF"/>
    <w:rsid w:val="00335637"/>
    <w:rsid w:val="00337462"/>
    <w:rsid w:val="00343F3C"/>
    <w:rsid w:val="0035584A"/>
    <w:rsid w:val="00365B4B"/>
    <w:rsid w:val="00373CE2"/>
    <w:rsid w:val="00374BE6"/>
    <w:rsid w:val="00375EA2"/>
    <w:rsid w:val="003817B3"/>
    <w:rsid w:val="0039015A"/>
    <w:rsid w:val="003A5640"/>
    <w:rsid w:val="003A77C4"/>
    <w:rsid w:val="003B0ABF"/>
    <w:rsid w:val="003B2D7D"/>
    <w:rsid w:val="003B72C2"/>
    <w:rsid w:val="003C0C8F"/>
    <w:rsid w:val="003C2A19"/>
    <w:rsid w:val="003C3320"/>
    <w:rsid w:val="003C34C6"/>
    <w:rsid w:val="003D1F4F"/>
    <w:rsid w:val="003D2601"/>
    <w:rsid w:val="003D7B75"/>
    <w:rsid w:val="003F258F"/>
    <w:rsid w:val="004069A5"/>
    <w:rsid w:val="004125E0"/>
    <w:rsid w:val="00414889"/>
    <w:rsid w:val="004364E9"/>
    <w:rsid w:val="004404FC"/>
    <w:rsid w:val="00441826"/>
    <w:rsid w:val="00445661"/>
    <w:rsid w:val="00446E5C"/>
    <w:rsid w:val="00447A35"/>
    <w:rsid w:val="00450B81"/>
    <w:rsid w:val="004568A6"/>
    <w:rsid w:val="0046124C"/>
    <w:rsid w:val="00461E4A"/>
    <w:rsid w:val="00474CAE"/>
    <w:rsid w:val="004944CB"/>
    <w:rsid w:val="00495AB9"/>
    <w:rsid w:val="004A1546"/>
    <w:rsid w:val="004A2803"/>
    <w:rsid w:val="004A3AB1"/>
    <w:rsid w:val="004B58AF"/>
    <w:rsid w:val="004C46BB"/>
    <w:rsid w:val="004C56CE"/>
    <w:rsid w:val="004D1200"/>
    <w:rsid w:val="00500BB0"/>
    <w:rsid w:val="005037EE"/>
    <w:rsid w:val="0051392A"/>
    <w:rsid w:val="005235C4"/>
    <w:rsid w:val="0052368F"/>
    <w:rsid w:val="00540FF2"/>
    <w:rsid w:val="005522FA"/>
    <w:rsid w:val="00553556"/>
    <w:rsid w:val="00555884"/>
    <w:rsid w:val="00561463"/>
    <w:rsid w:val="00561EFC"/>
    <w:rsid w:val="00564904"/>
    <w:rsid w:val="005748F6"/>
    <w:rsid w:val="005755ED"/>
    <w:rsid w:val="00592580"/>
    <w:rsid w:val="005C2277"/>
    <w:rsid w:val="005C2FBA"/>
    <w:rsid w:val="005C792D"/>
    <w:rsid w:val="005D00E3"/>
    <w:rsid w:val="005D2B38"/>
    <w:rsid w:val="005E18DF"/>
    <w:rsid w:val="005E2EDF"/>
    <w:rsid w:val="005E753C"/>
    <w:rsid w:val="005F3FC7"/>
    <w:rsid w:val="005F55CE"/>
    <w:rsid w:val="00601F98"/>
    <w:rsid w:val="00605889"/>
    <w:rsid w:val="00615188"/>
    <w:rsid w:val="00630F50"/>
    <w:rsid w:val="006317B6"/>
    <w:rsid w:val="006442F6"/>
    <w:rsid w:val="0065592A"/>
    <w:rsid w:val="00657680"/>
    <w:rsid w:val="00660EE1"/>
    <w:rsid w:val="00675317"/>
    <w:rsid w:val="00681252"/>
    <w:rsid w:val="00693DDE"/>
    <w:rsid w:val="006A4F1B"/>
    <w:rsid w:val="006C30AB"/>
    <w:rsid w:val="006E16EA"/>
    <w:rsid w:val="006E540E"/>
    <w:rsid w:val="0071051E"/>
    <w:rsid w:val="0071687A"/>
    <w:rsid w:val="00721ABA"/>
    <w:rsid w:val="00721B75"/>
    <w:rsid w:val="00731926"/>
    <w:rsid w:val="007429EF"/>
    <w:rsid w:val="0074744C"/>
    <w:rsid w:val="0075403C"/>
    <w:rsid w:val="007566A9"/>
    <w:rsid w:val="00756CE6"/>
    <w:rsid w:val="007573EA"/>
    <w:rsid w:val="007656F3"/>
    <w:rsid w:val="00767313"/>
    <w:rsid w:val="00770215"/>
    <w:rsid w:val="007762E1"/>
    <w:rsid w:val="00792E54"/>
    <w:rsid w:val="007A18CA"/>
    <w:rsid w:val="007B0297"/>
    <w:rsid w:val="007B0666"/>
    <w:rsid w:val="007B348E"/>
    <w:rsid w:val="007C0241"/>
    <w:rsid w:val="007C1AD3"/>
    <w:rsid w:val="007C1F12"/>
    <w:rsid w:val="007D5539"/>
    <w:rsid w:val="007D79F1"/>
    <w:rsid w:val="007E6B3A"/>
    <w:rsid w:val="007E6DF1"/>
    <w:rsid w:val="0081763C"/>
    <w:rsid w:val="00833B50"/>
    <w:rsid w:val="008345A5"/>
    <w:rsid w:val="0083470D"/>
    <w:rsid w:val="00835720"/>
    <w:rsid w:val="00853CAB"/>
    <w:rsid w:val="00854E12"/>
    <w:rsid w:val="00857A15"/>
    <w:rsid w:val="00861381"/>
    <w:rsid w:val="008673BD"/>
    <w:rsid w:val="00873CF7"/>
    <w:rsid w:val="0087590E"/>
    <w:rsid w:val="00875C00"/>
    <w:rsid w:val="00881D51"/>
    <w:rsid w:val="00883522"/>
    <w:rsid w:val="008900A0"/>
    <w:rsid w:val="008904DB"/>
    <w:rsid w:val="008A2FA3"/>
    <w:rsid w:val="008A3472"/>
    <w:rsid w:val="008A697D"/>
    <w:rsid w:val="008B18A9"/>
    <w:rsid w:val="008C246E"/>
    <w:rsid w:val="008D6FCA"/>
    <w:rsid w:val="008E4946"/>
    <w:rsid w:val="008F4534"/>
    <w:rsid w:val="00903F8E"/>
    <w:rsid w:val="0091579A"/>
    <w:rsid w:val="00925073"/>
    <w:rsid w:val="00935269"/>
    <w:rsid w:val="0094040F"/>
    <w:rsid w:val="009432D2"/>
    <w:rsid w:val="00943EC8"/>
    <w:rsid w:val="009627D7"/>
    <w:rsid w:val="00962C48"/>
    <w:rsid w:val="00964F96"/>
    <w:rsid w:val="009672F0"/>
    <w:rsid w:val="009808D5"/>
    <w:rsid w:val="00981793"/>
    <w:rsid w:val="00982A87"/>
    <w:rsid w:val="0098419D"/>
    <w:rsid w:val="0098618A"/>
    <w:rsid w:val="00996624"/>
    <w:rsid w:val="009A5185"/>
    <w:rsid w:val="009A536A"/>
    <w:rsid w:val="009A67C4"/>
    <w:rsid w:val="009B3FF8"/>
    <w:rsid w:val="009C145A"/>
    <w:rsid w:val="009C7DFB"/>
    <w:rsid w:val="009D6A29"/>
    <w:rsid w:val="009E035D"/>
    <w:rsid w:val="009E4AA4"/>
    <w:rsid w:val="009F0B4E"/>
    <w:rsid w:val="009F6902"/>
    <w:rsid w:val="00A15E2E"/>
    <w:rsid w:val="00A254CC"/>
    <w:rsid w:val="00A322C0"/>
    <w:rsid w:val="00A32F34"/>
    <w:rsid w:val="00A35B13"/>
    <w:rsid w:val="00A36CC4"/>
    <w:rsid w:val="00A4525F"/>
    <w:rsid w:val="00A64E95"/>
    <w:rsid w:val="00A80186"/>
    <w:rsid w:val="00A848EE"/>
    <w:rsid w:val="00A9469C"/>
    <w:rsid w:val="00A94A6C"/>
    <w:rsid w:val="00AA08CF"/>
    <w:rsid w:val="00AA136D"/>
    <w:rsid w:val="00AA1391"/>
    <w:rsid w:val="00AA7606"/>
    <w:rsid w:val="00AA7B29"/>
    <w:rsid w:val="00AB02EE"/>
    <w:rsid w:val="00AB5AB2"/>
    <w:rsid w:val="00AC7067"/>
    <w:rsid w:val="00AD09F0"/>
    <w:rsid w:val="00AD1105"/>
    <w:rsid w:val="00AD1F02"/>
    <w:rsid w:val="00AE0B00"/>
    <w:rsid w:val="00AE40CA"/>
    <w:rsid w:val="00AE53AF"/>
    <w:rsid w:val="00AE6432"/>
    <w:rsid w:val="00AE7CA1"/>
    <w:rsid w:val="00AF283E"/>
    <w:rsid w:val="00B03F57"/>
    <w:rsid w:val="00B15BF5"/>
    <w:rsid w:val="00B1608B"/>
    <w:rsid w:val="00B21369"/>
    <w:rsid w:val="00B21E02"/>
    <w:rsid w:val="00B31338"/>
    <w:rsid w:val="00B43EE9"/>
    <w:rsid w:val="00B449C9"/>
    <w:rsid w:val="00B45681"/>
    <w:rsid w:val="00B53BC1"/>
    <w:rsid w:val="00B56B7F"/>
    <w:rsid w:val="00B62E81"/>
    <w:rsid w:val="00B646DE"/>
    <w:rsid w:val="00B64CD8"/>
    <w:rsid w:val="00B73B97"/>
    <w:rsid w:val="00B8338C"/>
    <w:rsid w:val="00B92F18"/>
    <w:rsid w:val="00B95066"/>
    <w:rsid w:val="00BA0831"/>
    <w:rsid w:val="00BA0EDE"/>
    <w:rsid w:val="00BA34CE"/>
    <w:rsid w:val="00BA5109"/>
    <w:rsid w:val="00BB18DC"/>
    <w:rsid w:val="00BB2A3C"/>
    <w:rsid w:val="00BB42F1"/>
    <w:rsid w:val="00BC3EB7"/>
    <w:rsid w:val="00BC7A76"/>
    <w:rsid w:val="00BD4FEC"/>
    <w:rsid w:val="00BD69E4"/>
    <w:rsid w:val="00BF190F"/>
    <w:rsid w:val="00C04D7D"/>
    <w:rsid w:val="00C0650B"/>
    <w:rsid w:val="00C06E98"/>
    <w:rsid w:val="00C24D08"/>
    <w:rsid w:val="00C2549F"/>
    <w:rsid w:val="00C27C5B"/>
    <w:rsid w:val="00C31F28"/>
    <w:rsid w:val="00C3433E"/>
    <w:rsid w:val="00C346E6"/>
    <w:rsid w:val="00C448E5"/>
    <w:rsid w:val="00C464E8"/>
    <w:rsid w:val="00C550D1"/>
    <w:rsid w:val="00C55838"/>
    <w:rsid w:val="00C63077"/>
    <w:rsid w:val="00C709B8"/>
    <w:rsid w:val="00C71868"/>
    <w:rsid w:val="00C7210B"/>
    <w:rsid w:val="00C740EA"/>
    <w:rsid w:val="00C758BA"/>
    <w:rsid w:val="00C818EA"/>
    <w:rsid w:val="00C859C7"/>
    <w:rsid w:val="00C94B90"/>
    <w:rsid w:val="00CA050F"/>
    <w:rsid w:val="00CA71F8"/>
    <w:rsid w:val="00CC50BC"/>
    <w:rsid w:val="00CC7542"/>
    <w:rsid w:val="00CD51D9"/>
    <w:rsid w:val="00CE09F1"/>
    <w:rsid w:val="00CE1E46"/>
    <w:rsid w:val="00CE539B"/>
    <w:rsid w:val="00CF14B6"/>
    <w:rsid w:val="00CF241E"/>
    <w:rsid w:val="00D04B7B"/>
    <w:rsid w:val="00D056F4"/>
    <w:rsid w:val="00D07872"/>
    <w:rsid w:val="00D10234"/>
    <w:rsid w:val="00D24976"/>
    <w:rsid w:val="00D253DA"/>
    <w:rsid w:val="00D25B5C"/>
    <w:rsid w:val="00D42632"/>
    <w:rsid w:val="00D5032E"/>
    <w:rsid w:val="00D54AC6"/>
    <w:rsid w:val="00D57854"/>
    <w:rsid w:val="00D6724F"/>
    <w:rsid w:val="00D7014D"/>
    <w:rsid w:val="00D743AD"/>
    <w:rsid w:val="00D83331"/>
    <w:rsid w:val="00D90889"/>
    <w:rsid w:val="00D9207C"/>
    <w:rsid w:val="00D94562"/>
    <w:rsid w:val="00DA467B"/>
    <w:rsid w:val="00DA6D21"/>
    <w:rsid w:val="00DA7C0C"/>
    <w:rsid w:val="00DB2512"/>
    <w:rsid w:val="00DB721D"/>
    <w:rsid w:val="00DC2E6A"/>
    <w:rsid w:val="00DC7BB2"/>
    <w:rsid w:val="00DC7DE3"/>
    <w:rsid w:val="00DF056A"/>
    <w:rsid w:val="00DF1B48"/>
    <w:rsid w:val="00E03AA3"/>
    <w:rsid w:val="00E177DA"/>
    <w:rsid w:val="00E2136A"/>
    <w:rsid w:val="00E230C5"/>
    <w:rsid w:val="00E24DD9"/>
    <w:rsid w:val="00E2603C"/>
    <w:rsid w:val="00E26396"/>
    <w:rsid w:val="00E271D8"/>
    <w:rsid w:val="00E27F2B"/>
    <w:rsid w:val="00E44C60"/>
    <w:rsid w:val="00E52EC0"/>
    <w:rsid w:val="00E56235"/>
    <w:rsid w:val="00E615D1"/>
    <w:rsid w:val="00E70C8A"/>
    <w:rsid w:val="00E7342E"/>
    <w:rsid w:val="00E75D1F"/>
    <w:rsid w:val="00E82101"/>
    <w:rsid w:val="00E8312A"/>
    <w:rsid w:val="00E86476"/>
    <w:rsid w:val="00E9001C"/>
    <w:rsid w:val="00EA1B6C"/>
    <w:rsid w:val="00EA254F"/>
    <w:rsid w:val="00EB5041"/>
    <w:rsid w:val="00ED42CB"/>
    <w:rsid w:val="00ED6E7B"/>
    <w:rsid w:val="00EF3A8E"/>
    <w:rsid w:val="00F04535"/>
    <w:rsid w:val="00F120BA"/>
    <w:rsid w:val="00F237FA"/>
    <w:rsid w:val="00F30E8E"/>
    <w:rsid w:val="00F45977"/>
    <w:rsid w:val="00F513D7"/>
    <w:rsid w:val="00F5399F"/>
    <w:rsid w:val="00F6022F"/>
    <w:rsid w:val="00F703CB"/>
    <w:rsid w:val="00F775B9"/>
    <w:rsid w:val="00F80721"/>
    <w:rsid w:val="00F8091E"/>
    <w:rsid w:val="00F819AD"/>
    <w:rsid w:val="00F84A9C"/>
    <w:rsid w:val="00FA466F"/>
    <w:rsid w:val="00FA4B4E"/>
    <w:rsid w:val="00FB077A"/>
    <w:rsid w:val="00FB0FB3"/>
    <w:rsid w:val="00FB1574"/>
    <w:rsid w:val="00FC1143"/>
    <w:rsid w:val="00FC46A8"/>
    <w:rsid w:val="00FC7A99"/>
    <w:rsid w:val="00FD0AAC"/>
    <w:rsid w:val="00FE1FE8"/>
    <w:rsid w:val="00FF038A"/>
    <w:rsid w:val="0866B432"/>
    <w:rsid w:val="2158FC1B"/>
    <w:rsid w:val="27D1742B"/>
    <w:rsid w:val="2C536D28"/>
    <w:rsid w:val="304F8138"/>
    <w:rsid w:val="31E87F94"/>
    <w:rsid w:val="3660CC5C"/>
    <w:rsid w:val="3DA4B1A1"/>
    <w:rsid w:val="52AF5865"/>
    <w:rsid w:val="573AB603"/>
    <w:rsid w:val="5E7F3548"/>
    <w:rsid w:val="62AAFDA4"/>
    <w:rsid w:val="6A38DC44"/>
    <w:rsid w:val="6CCD0C7C"/>
    <w:rsid w:val="6EAB5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187C2"/>
  <w15:chartTrackingRefBased/>
  <w15:docId w15:val="{A4DB7186-19DB-4255-A623-5ADF2D7B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4A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20BA"/>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F120BA"/>
  </w:style>
  <w:style w:type="character" w:customStyle="1" w:styleId="eop">
    <w:name w:val="eop"/>
    <w:basedOn w:val="DefaultParagraphFont"/>
    <w:rsid w:val="00F120BA"/>
  </w:style>
  <w:style w:type="character" w:styleId="Hyperlink">
    <w:name w:val="Hyperlink"/>
    <w:basedOn w:val="DefaultParagraphFont"/>
    <w:uiPriority w:val="99"/>
    <w:unhideWhenUsed/>
    <w:rsid w:val="003B0ABF"/>
    <w:rPr>
      <w:color w:val="0563C1" w:themeColor="hyperlink"/>
      <w:u w:val="single"/>
    </w:rPr>
  </w:style>
  <w:style w:type="character" w:styleId="FollowedHyperlink">
    <w:name w:val="FollowedHyperlink"/>
    <w:basedOn w:val="DefaultParagraphFont"/>
    <w:uiPriority w:val="99"/>
    <w:semiHidden/>
    <w:unhideWhenUsed/>
    <w:rsid w:val="007656F3"/>
    <w:rPr>
      <w:color w:val="954F72" w:themeColor="followedHyperlink"/>
      <w:u w:val="single"/>
    </w:rPr>
  </w:style>
  <w:style w:type="paragraph" w:styleId="Caption">
    <w:name w:val="caption"/>
    <w:basedOn w:val="Normal"/>
    <w:next w:val="Normal"/>
    <w:uiPriority w:val="35"/>
    <w:unhideWhenUsed/>
    <w:qFormat/>
    <w:rsid w:val="005748F6"/>
    <w:pPr>
      <w:spacing w:after="200" w:line="240" w:lineRule="auto"/>
    </w:pPr>
    <w:rPr>
      <w:i/>
      <w:iCs/>
      <w:color w:val="44546A" w:themeColor="text2"/>
      <w:sz w:val="18"/>
      <w:szCs w:val="18"/>
    </w:rPr>
  </w:style>
  <w:style w:type="paragraph" w:styleId="ListParagraph">
    <w:name w:val="List Paragraph"/>
    <w:basedOn w:val="Normal"/>
    <w:uiPriority w:val="34"/>
    <w:qFormat/>
    <w:rsid w:val="008A3472"/>
    <w:pPr>
      <w:ind w:left="720"/>
      <w:contextualSpacing/>
    </w:pPr>
  </w:style>
  <w:style w:type="table" w:styleId="TableGrid">
    <w:name w:val="Table Grid"/>
    <w:basedOn w:val="TableNormal"/>
    <w:uiPriority w:val="39"/>
    <w:rsid w:val="009E0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64E8"/>
  </w:style>
  <w:style w:type="table" w:styleId="PlainTable1">
    <w:name w:val="Plain Table 1"/>
    <w:basedOn w:val="TableNormal"/>
    <w:uiPriority w:val="41"/>
    <w:rsid w:val="008E49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5522F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E177D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92E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EF6"/>
  </w:style>
  <w:style w:type="paragraph" w:styleId="Footer">
    <w:name w:val="footer"/>
    <w:basedOn w:val="Normal"/>
    <w:link w:val="FooterChar"/>
    <w:uiPriority w:val="99"/>
    <w:unhideWhenUsed/>
    <w:rsid w:val="00192E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EF6"/>
  </w:style>
  <w:style w:type="character" w:customStyle="1" w:styleId="Heading1Char">
    <w:name w:val="Heading 1 Char"/>
    <w:basedOn w:val="DefaultParagraphFont"/>
    <w:link w:val="Heading1"/>
    <w:uiPriority w:val="9"/>
    <w:rsid w:val="00D54AC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C2A19"/>
    <w:pPr>
      <w:spacing w:after="0" w:line="240" w:lineRule="auto"/>
    </w:pPr>
  </w:style>
  <w:style w:type="paragraph" w:styleId="EndnoteText">
    <w:name w:val="endnote text"/>
    <w:basedOn w:val="Normal"/>
    <w:link w:val="EndnoteTextChar"/>
    <w:uiPriority w:val="99"/>
    <w:semiHidden/>
    <w:unhideWhenUsed/>
    <w:rsid w:val="003C2A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19"/>
    <w:rPr>
      <w:sz w:val="20"/>
      <w:szCs w:val="20"/>
    </w:rPr>
  </w:style>
  <w:style w:type="character" w:styleId="EndnoteReference">
    <w:name w:val="endnote reference"/>
    <w:basedOn w:val="DefaultParagraphFont"/>
    <w:uiPriority w:val="99"/>
    <w:semiHidden/>
    <w:unhideWhenUsed/>
    <w:rsid w:val="003C2A19"/>
    <w:rPr>
      <w:vertAlign w:val="superscript"/>
    </w:rPr>
  </w:style>
  <w:style w:type="paragraph" w:styleId="FootnoteText">
    <w:name w:val="footnote text"/>
    <w:basedOn w:val="Normal"/>
    <w:link w:val="FootnoteTextChar"/>
    <w:uiPriority w:val="99"/>
    <w:unhideWhenUsed/>
    <w:rsid w:val="003C2A19"/>
    <w:pPr>
      <w:spacing w:after="0" w:line="240" w:lineRule="auto"/>
    </w:pPr>
    <w:rPr>
      <w:sz w:val="20"/>
      <w:szCs w:val="20"/>
    </w:rPr>
  </w:style>
  <w:style w:type="character" w:customStyle="1" w:styleId="FootnoteTextChar">
    <w:name w:val="Footnote Text Char"/>
    <w:basedOn w:val="DefaultParagraphFont"/>
    <w:link w:val="FootnoteText"/>
    <w:uiPriority w:val="99"/>
    <w:qFormat/>
    <w:rsid w:val="003C2A19"/>
    <w:rPr>
      <w:sz w:val="20"/>
      <w:szCs w:val="20"/>
    </w:rPr>
  </w:style>
  <w:style w:type="character" w:styleId="FootnoteReference">
    <w:name w:val="footnote reference"/>
    <w:basedOn w:val="DefaultParagraphFont"/>
    <w:uiPriority w:val="99"/>
    <w:semiHidden/>
    <w:unhideWhenUsed/>
    <w:rsid w:val="003C2A19"/>
    <w:rPr>
      <w:vertAlign w:val="superscript"/>
    </w:rPr>
  </w:style>
  <w:style w:type="character" w:customStyle="1" w:styleId="InternetLink">
    <w:name w:val="Internet Link"/>
    <w:basedOn w:val="DefaultParagraphFont"/>
    <w:uiPriority w:val="99"/>
    <w:unhideWhenUsed/>
    <w:rsid w:val="003C2A19"/>
    <w:rPr>
      <w:color w:val="0000FF"/>
      <w:u w:val="single"/>
    </w:rPr>
  </w:style>
  <w:style w:type="character" w:styleId="CommentReference">
    <w:name w:val="annotation reference"/>
    <w:basedOn w:val="DefaultParagraphFont"/>
    <w:uiPriority w:val="99"/>
    <w:semiHidden/>
    <w:unhideWhenUsed/>
    <w:rsid w:val="00903F8E"/>
    <w:rPr>
      <w:sz w:val="16"/>
      <w:szCs w:val="16"/>
    </w:rPr>
  </w:style>
  <w:style w:type="paragraph" w:styleId="CommentText">
    <w:name w:val="annotation text"/>
    <w:basedOn w:val="Normal"/>
    <w:link w:val="CommentTextChar"/>
    <w:uiPriority w:val="99"/>
    <w:semiHidden/>
    <w:unhideWhenUsed/>
    <w:rsid w:val="00903F8E"/>
    <w:pPr>
      <w:spacing w:line="240" w:lineRule="auto"/>
    </w:pPr>
    <w:rPr>
      <w:sz w:val="20"/>
      <w:szCs w:val="20"/>
    </w:rPr>
  </w:style>
  <w:style w:type="character" w:customStyle="1" w:styleId="CommentTextChar">
    <w:name w:val="Comment Text Char"/>
    <w:basedOn w:val="DefaultParagraphFont"/>
    <w:link w:val="CommentText"/>
    <w:uiPriority w:val="99"/>
    <w:semiHidden/>
    <w:rsid w:val="00903F8E"/>
    <w:rPr>
      <w:sz w:val="20"/>
      <w:szCs w:val="20"/>
    </w:rPr>
  </w:style>
  <w:style w:type="paragraph" w:styleId="CommentSubject">
    <w:name w:val="annotation subject"/>
    <w:basedOn w:val="CommentText"/>
    <w:next w:val="CommentText"/>
    <w:link w:val="CommentSubjectChar"/>
    <w:uiPriority w:val="99"/>
    <w:semiHidden/>
    <w:unhideWhenUsed/>
    <w:rsid w:val="00903F8E"/>
    <w:rPr>
      <w:b/>
      <w:bCs/>
    </w:rPr>
  </w:style>
  <w:style w:type="character" w:customStyle="1" w:styleId="CommentSubjectChar">
    <w:name w:val="Comment Subject Char"/>
    <w:basedOn w:val="CommentTextChar"/>
    <w:link w:val="CommentSubject"/>
    <w:uiPriority w:val="99"/>
    <w:semiHidden/>
    <w:rsid w:val="00903F8E"/>
    <w:rPr>
      <w:b/>
      <w:bCs/>
      <w:sz w:val="20"/>
      <w:szCs w:val="20"/>
    </w:rPr>
  </w:style>
  <w:style w:type="paragraph" w:styleId="BalloonText">
    <w:name w:val="Balloon Text"/>
    <w:basedOn w:val="Normal"/>
    <w:link w:val="BalloonTextChar"/>
    <w:uiPriority w:val="99"/>
    <w:semiHidden/>
    <w:unhideWhenUsed/>
    <w:rsid w:val="00903F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F8E"/>
    <w:rPr>
      <w:rFonts w:ascii="Segoe UI" w:hAnsi="Segoe UI" w:cs="Segoe UI"/>
      <w:sz w:val="18"/>
      <w:szCs w:val="18"/>
    </w:rPr>
  </w:style>
  <w:style w:type="character" w:customStyle="1" w:styleId="UnresolvedMention1">
    <w:name w:val="Unresolved Mention1"/>
    <w:basedOn w:val="DefaultParagraphFont"/>
    <w:uiPriority w:val="99"/>
    <w:semiHidden/>
    <w:unhideWhenUsed/>
    <w:rsid w:val="00E75D1F"/>
    <w:rPr>
      <w:color w:val="605E5C"/>
      <w:shd w:val="clear" w:color="auto" w:fill="E1DFDD"/>
    </w:rPr>
  </w:style>
  <w:style w:type="character" w:styleId="UnresolvedMention">
    <w:name w:val="Unresolved Mention"/>
    <w:basedOn w:val="DefaultParagraphFont"/>
    <w:uiPriority w:val="99"/>
    <w:semiHidden/>
    <w:unhideWhenUsed/>
    <w:rsid w:val="0039015A"/>
    <w:rPr>
      <w:color w:val="808080"/>
      <w:shd w:val="clear" w:color="auto" w:fill="E6E6E6"/>
    </w:rPr>
  </w:style>
  <w:style w:type="paragraph" w:styleId="NormalWeb">
    <w:name w:val="Normal (Web)"/>
    <w:basedOn w:val="Normal"/>
    <w:uiPriority w:val="99"/>
    <w:semiHidden/>
    <w:unhideWhenUsed/>
    <w:rsid w:val="00854E1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7422898">
      <w:bodyDiv w:val="1"/>
      <w:marLeft w:val="0"/>
      <w:marRight w:val="0"/>
      <w:marTop w:val="0"/>
      <w:marBottom w:val="0"/>
      <w:divBdr>
        <w:top w:val="none" w:sz="0" w:space="0" w:color="auto"/>
        <w:left w:val="none" w:sz="0" w:space="0" w:color="auto"/>
        <w:bottom w:val="none" w:sz="0" w:space="0" w:color="auto"/>
        <w:right w:val="none" w:sz="0" w:space="0" w:color="auto"/>
      </w:divBdr>
    </w:div>
    <w:div w:id="675232808">
      <w:bodyDiv w:val="1"/>
      <w:marLeft w:val="0"/>
      <w:marRight w:val="0"/>
      <w:marTop w:val="0"/>
      <w:marBottom w:val="0"/>
      <w:divBdr>
        <w:top w:val="none" w:sz="0" w:space="0" w:color="auto"/>
        <w:left w:val="none" w:sz="0" w:space="0" w:color="auto"/>
        <w:bottom w:val="none" w:sz="0" w:space="0" w:color="auto"/>
        <w:right w:val="none" w:sz="0" w:space="0" w:color="auto"/>
      </w:divBdr>
      <w:divsChild>
        <w:div w:id="2095466599">
          <w:marLeft w:val="0"/>
          <w:marRight w:val="0"/>
          <w:marTop w:val="0"/>
          <w:marBottom w:val="0"/>
          <w:divBdr>
            <w:top w:val="none" w:sz="0" w:space="0" w:color="auto"/>
            <w:left w:val="none" w:sz="0" w:space="0" w:color="auto"/>
            <w:bottom w:val="none" w:sz="0" w:space="0" w:color="auto"/>
            <w:right w:val="none" w:sz="0" w:space="0" w:color="auto"/>
          </w:divBdr>
          <w:divsChild>
            <w:div w:id="1485196974">
              <w:marLeft w:val="0"/>
              <w:marRight w:val="0"/>
              <w:marTop w:val="0"/>
              <w:marBottom w:val="0"/>
              <w:divBdr>
                <w:top w:val="none" w:sz="0" w:space="0" w:color="auto"/>
                <w:left w:val="none" w:sz="0" w:space="0" w:color="auto"/>
                <w:bottom w:val="none" w:sz="0" w:space="0" w:color="auto"/>
                <w:right w:val="none" w:sz="0" w:space="0" w:color="auto"/>
              </w:divBdr>
              <w:divsChild>
                <w:div w:id="619839844">
                  <w:marLeft w:val="0"/>
                  <w:marRight w:val="0"/>
                  <w:marTop w:val="0"/>
                  <w:marBottom w:val="0"/>
                  <w:divBdr>
                    <w:top w:val="none" w:sz="0" w:space="0" w:color="auto"/>
                    <w:left w:val="none" w:sz="0" w:space="0" w:color="auto"/>
                    <w:bottom w:val="none" w:sz="0" w:space="0" w:color="auto"/>
                    <w:right w:val="none" w:sz="0" w:space="0" w:color="auto"/>
                  </w:divBdr>
                  <w:divsChild>
                    <w:div w:id="1463039468">
                      <w:marLeft w:val="0"/>
                      <w:marRight w:val="0"/>
                      <w:marTop w:val="0"/>
                      <w:marBottom w:val="0"/>
                      <w:divBdr>
                        <w:top w:val="none" w:sz="0" w:space="0" w:color="auto"/>
                        <w:left w:val="none" w:sz="0" w:space="0" w:color="auto"/>
                        <w:bottom w:val="none" w:sz="0" w:space="0" w:color="auto"/>
                        <w:right w:val="none" w:sz="0" w:space="0" w:color="auto"/>
                      </w:divBdr>
                      <w:divsChild>
                        <w:div w:id="379944954">
                          <w:marLeft w:val="0"/>
                          <w:marRight w:val="0"/>
                          <w:marTop w:val="0"/>
                          <w:marBottom w:val="0"/>
                          <w:divBdr>
                            <w:top w:val="none" w:sz="0" w:space="0" w:color="auto"/>
                            <w:left w:val="none" w:sz="0" w:space="0" w:color="auto"/>
                            <w:bottom w:val="none" w:sz="0" w:space="0" w:color="auto"/>
                            <w:right w:val="none" w:sz="0" w:space="0" w:color="auto"/>
                          </w:divBdr>
                          <w:divsChild>
                            <w:div w:id="2024083971">
                              <w:marLeft w:val="0"/>
                              <w:marRight w:val="0"/>
                              <w:marTop w:val="0"/>
                              <w:marBottom w:val="0"/>
                              <w:divBdr>
                                <w:top w:val="none" w:sz="0" w:space="0" w:color="auto"/>
                                <w:left w:val="none" w:sz="0" w:space="0" w:color="auto"/>
                                <w:bottom w:val="none" w:sz="0" w:space="0" w:color="auto"/>
                                <w:right w:val="none" w:sz="0" w:space="0" w:color="auto"/>
                              </w:divBdr>
                              <w:divsChild>
                                <w:div w:id="125970665">
                                  <w:marLeft w:val="0"/>
                                  <w:marRight w:val="0"/>
                                  <w:marTop w:val="0"/>
                                  <w:marBottom w:val="0"/>
                                  <w:divBdr>
                                    <w:top w:val="none" w:sz="0" w:space="0" w:color="auto"/>
                                    <w:left w:val="none" w:sz="0" w:space="0" w:color="auto"/>
                                    <w:bottom w:val="none" w:sz="0" w:space="0" w:color="auto"/>
                                    <w:right w:val="none" w:sz="0" w:space="0" w:color="auto"/>
                                  </w:divBdr>
                                  <w:divsChild>
                                    <w:div w:id="1660495064">
                                      <w:marLeft w:val="0"/>
                                      <w:marRight w:val="0"/>
                                      <w:marTop w:val="0"/>
                                      <w:marBottom w:val="0"/>
                                      <w:divBdr>
                                        <w:top w:val="none" w:sz="0" w:space="0" w:color="auto"/>
                                        <w:left w:val="none" w:sz="0" w:space="0" w:color="auto"/>
                                        <w:bottom w:val="none" w:sz="0" w:space="0" w:color="auto"/>
                                        <w:right w:val="none" w:sz="0" w:space="0" w:color="auto"/>
                                      </w:divBdr>
                                      <w:divsChild>
                                        <w:div w:id="1275092054">
                                          <w:marLeft w:val="0"/>
                                          <w:marRight w:val="0"/>
                                          <w:marTop w:val="0"/>
                                          <w:marBottom w:val="0"/>
                                          <w:divBdr>
                                            <w:top w:val="none" w:sz="0" w:space="0" w:color="auto"/>
                                            <w:left w:val="none" w:sz="0" w:space="0" w:color="auto"/>
                                            <w:bottom w:val="none" w:sz="0" w:space="0" w:color="auto"/>
                                            <w:right w:val="none" w:sz="0" w:space="0" w:color="auto"/>
                                          </w:divBdr>
                                          <w:divsChild>
                                            <w:div w:id="180779742">
                                              <w:marLeft w:val="0"/>
                                              <w:marRight w:val="0"/>
                                              <w:marTop w:val="0"/>
                                              <w:marBottom w:val="0"/>
                                              <w:divBdr>
                                                <w:top w:val="none" w:sz="0" w:space="0" w:color="auto"/>
                                                <w:left w:val="none" w:sz="0" w:space="0" w:color="auto"/>
                                                <w:bottom w:val="none" w:sz="0" w:space="0" w:color="auto"/>
                                                <w:right w:val="none" w:sz="0" w:space="0" w:color="auto"/>
                                              </w:divBdr>
                                              <w:divsChild>
                                                <w:div w:id="1985501174">
                                                  <w:marLeft w:val="0"/>
                                                  <w:marRight w:val="0"/>
                                                  <w:marTop w:val="0"/>
                                                  <w:marBottom w:val="0"/>
                                                  <w:divBdr>
                                                    <w:top w:val="none" w:sz="0" w:space="0" w:color="auto"/>
                                                    <w:left w:val="none" w:sz="0" w:space="0" w:color="auto"/>
                                                    <w:bottom w:val="none" w:sz="0" w:space="0" w:color="auto"/>
                                                    <w:right w:val="none" w:sz="0" w:space="0" w:color="auto"/>
                                                  </w:divBdr>
                                                  <w:divsChild>
                                                    <w:div w:id="977567502">
                                                      <w:marLeft w:val="0"/>
                                                      <w:marRight w:val="0"/>
                                                      <w:marTop w:val="0"/>
                                                      <w:marBottom w:val="0"/>
                                                      <w:divBdr>
                                                        <w:top w:val="none" w:sz="0" w:space="0" w:color="auto"/>
                                                        <w:left w:val="none" w:sz="0" w:space="0" w:color="auto"/>
                                                        <w:bottom w:val="none" w:sz="0" w:space="0" w:color="auto"/>
                                                        <w:right w:val="none" w:sz="0" w:space="0" w:color="auto"/>
                                                      </w:divBdr>
                                                      <w:divsChild>
                                                        <w:div w:id="614748861">
                                                          <w:marLeft w:val="0"/>
                                                          <w:marRight w:val="0"/>
                                                          <w:marTop w:val="0"/>
                                                          <w:marBottom w:val="0"/>
                                                          <w:divBdr>
                                                            <w:top w:val="none" w:sz="0" w:space="0" w:color="auto"/>
                                                            <w:left w:val="none" w:sz="0" w:space="0" w:color="auto"/>
                                                            <w:bottom w:val="none" w:sz="0" w:space="0" w:color="auto"/>
                                                            <w:right w:val="none" w:sz="0" w:space="0" w:color="auto"/>
                                                          </w:divBdr>
                                                          <w:divsChild>
                                                            <w:div w:id="849105523">
                                                              <w:marLeft w:val="0"/>
                                                              <w:marRight w:val="0"/>
                                                              <w:marTop w:val="0"/>
                                                              <w:marBottom w:val="0"/>
                                                              <w:divBdr>
                                                                <w:top w:val="none" w:sz="0" w:space="0" w:color="auto"/>
                                                                <w:left w:val="none" w:sz="0" w:space="0" w:color="auto"/>
                                                                <w:bottom w:val="none" w:sz="0" w:space="0" w:color="auto"/>
                                                                <w:right w:val="none" w:sz="0" w:space="0" w:color="auto"/>
                                                              </w:divBdr>
                                                              <w:divsChild>
                                                                <w:div w:id="1280336257">
                                                                  <w:marLeft w:val="-210"/>
                                                                  <w:marRight w:val="-75"/>
                                                                  <w:marTop w:val="0"/>
                                                                  <w:marBottom w:val="0"/>
                                                                  <w:divBdr>
                                                                    <w:top w:val="none" w:sz="0" w:space="0" w:color="auto"/>
                                                                    <w:left w:val="none" w:sz="0" w:space="0" w:color="auto"/>
                                                                    <w:bottom w:val="none" w:sz="0" w:space="0" w:color="auto"/>
                                                                    <w:right w:val="none" w:sz="0" w:space="0" w:color="auto"/>
                                                                  </w:divBdr>
                                                                  <w:divsChild>
                                                                    <w:div w:id="1077242336">
                                                                      <w:marLeft w:val="0"/>
                                                                      <w:marRight w:val="0"/>
                                                                      <w:marTop w:val="0"/>
                                                                      <w:marBottom w:val="0"/>
                                                                      <w:divBdr>
                                                                        <w:top w:val="none" w:sz="0" w:space="0" w:color="auto"/>
                                                                        <w:left w:val="none" w:sz="0" w:space="0" w:color="auto"/>
                                                                        <w:bottom w:val="none" w:sz="0" w:space="0" w:color="auto"/>
                                                                        <w:right w:val="none" w:sz="0" w:space="0" w:color="auto"/>
                                                                      </w:divBdr>
                                                                      <w:divsChild>
                                                                        <w:div w:id="68969390">
                                                                          <w:marLeft w:val="0"/>
                                                                          <w:marRight w:val="0"/>
                                                                          <w:marTop w:val="0"/>
                                                                          <w:marBottom w:val="0"/>
                                                                          <w:divBdr>
                                                                            <w:top w:val="none" w:sz="0" w:space="0" w:color="auto"/>
                                                                            <w:left w:val="none" w:sz="0" w:space="0" w:color="auto"/>
                                                                            <w:bottom w:val="none" w:sz="0" w:space="0" w:color="auto"/>
                                                                            <w:right w:val="none" w:sz="0" w:space="0" w:color="auto"/>
                                                                          </w:divBdr>
                                                                          <w:divsChild>
                                                                            <w:div w:id="1694503016">
                                                                              <w:marLeft w:val="0"/>
                                                                              <w:marRight w:val="0"/>
                                                                              <w:marTop w:val="0"/>
                                                                              <w:marBottom w:val="0"/>
                                                                              <w:divBdr>
                                                                                <w:top w:val="none" w:sz="0" w:space="0" w:color="auto"/>
                                                                                <w:left w:val="none" w:sz="0" w:space="0" w:color="auto"/>
                                                                                <w:bottom w:val="none" w:sz="0" w:space="0" w:color="auto"/>
                                                                                <w:right w:val="none" w:sz="0" w:space="0" w:color="auto"/>
                                                                              </w:divBdr>
                                                                              <w:divsChild>
                                                                                <w:div w:id="1074084450">
                                                                                  <w:marLeft w:val="0"/>
                                                                                  <w:marRight w:val="0"/>
                                                                                  <w:marTop w:val="0"/>
                                                                                  <w:marBottom w:val="0"/>
                                                                                  <w:divBdr>
                                                                                    <w:top w:val="none" w:sz="0" w:space="0" w:color="auto"/>
                                                                                    <w:left w:val="none" w:sz="0" w:space="0" w:color="auto"/>
                                                                                    <w:bottom w:val="none" w:sz="0" w:space="0" w:color="auto"/>
                                                                                    <w:right w:val="none" w:sz="0" w:space="0" w:color="auto"/>
                                                                                  </w:divBdr>
                                                                                  <w:divsChild>
                                                                                    <w:div w:id="227494899">
                                                                                      <w:marLeft w:val="0"/>
                                                                                      <w:marRight w:val="0"/>
                                                                                      <w:marTop w:val="0"/>
                                                                                      <w:marBottom w:val="0"/>
                                                                                      <w:divBdr>
                                                                                        <w:top w:val="none" w:sz="0" w:space="0" w:color="auto"/>
                                                                                        <w:left w:val="none" w:sz="0" w:space="0" w:color="auto"/>
                                                                                        <w:bottom w:val="none" w:sz="0" w:space="0" w:color="auto"/>
                                                                                        <w:right w:val="none" w:sz="0" w:space="0" w:color="auto"/>
                                                                                      </w:divBdr>
                                                                                      <w:divsChild>
                                                                                        <w:div w:id="2923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24114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41">
          <w:marLeft w:val="0"/>
          <w:marRight w:val="0"/>
          <w:marTop w:val="0"/>
          <w:marBottom w:val="0"/>
          <w:divBdr>
            <w:top w:val="none" w:sz="0" w:space="0" w:color="auto"/>
            <w:left w:val="none" w:sz="0" w:space="0" w:color="auto"/>
            <w:bottom w:val="none" w:sz="0" w:space="0" w:color="auto"/>
            <w:right w:val="none" w:sz="0" w:space="0" w:color="auto"/>
          </w:divBdr>
          <w:divsChild>
            <w:div w:id="1231618691">
              <w:marLeft w:val="0"/>
              <w:marRight w:val="0"/>
              <w:marTop w:val="0"/>
              <w:marBottom w:val="0"/>
              <w:divBdr>
                <w:top w:val="none" w:sz="0" w:space="0" w:color="auto"/>
                <w:left w:val="none" w:sz="0" w:space="0" w:color="auto"/>
                <w:bottom w:val="none" w:sz="0" w:space="0" w:color="auto"/>
                <w:right w:val="none" w:sz="0" w:space="0" w:color="auto"/>
              </w:divBdr>
              <w:divsChild>
                <w:div w:id="889463679">
                  <w:marLeft w:val="0"/>
                  <w:marRight w:val="0"/>
                  <w:marTop w:val="0"/>
                  <w:marBottom w:val="0"/>
                  <w:divBdr>
                    <w:top w:val="none" w:sz="0" w:space="0" w:color="auto"/>
                    <w:left w:val="none" w:sz="0" w:space="0" w:color="auto"/>
                    <w:bottom w:val="none" w:sz="0" w:space="0" w:color="auto"/>
                    <w:right w:val="none" w:sz="0" w:space="0" w:color="auto"/>
                  </w:divBdr>
                  <w:divsChild>
                    <w:div w:id="1014726269">
                      <w:marLeft w:val="0"/>
                      <w:marRight w:val="0"/>
                      <w:marTop w:val="0"/>
                      <w:marBottom w:val="0"/>
                      <w:divBdr>
                        <w:top w:val="none" w:sz="0" w:space="0" w:color="auto"/>
                        <w:left w:val="none" w:sz="0" w:space="0" w:color="auto"/>
                        <w:bottom w:val="none" w:sz="0" w:space="0" w:color="auto"/>
                        <w:right w:val="none" w:sz="0" w:space="0" w:color="auto"/>
                      </w:divBdr>
                      <w:divsChild>
                        <w:div w:id="1477454419">
                          <w:marLeft w:val="0"/>
                          <w:marRight w:val="0"/>
                          <w:marTop w:val="0"/>
                          <w:marBottom w:val="0"/>
                          <w:divBdr>
                            <w:top w:val="none" w:sz="0" w:space="0" w:color="auto"/>
                            <w:left w:val="none" w:sz="0" w:space="0" w:color="auto"/>
                            <w:bottom w:val="none" w:sz="0" w:space="0" w:color="auto"/>
                            <w:right w:val="none" w:sz="0" w:space="0" w:color="auto"/>
                          </w:divBdr>
                          <w:divsChild>
                            <w:div w:id="507214185">
                              <w:marLeft w:val="0"/>
                              <w:marRight w:val="0"/>
                              <w:marTop w:val="0"/>
                              <w:marBottom w:val="0"/>
                              <w:divBdr>
                                <w:top w:val="none" w:sz="0" w:space="0" w:color="auto"/>
                                <w:left w:val="none" w:sz="0" w:space="0" w:color="auto"/>
                                <w:bottom w:val="none" w:sz="0" w:space="0" w:color="auto"/>
                                <w:right w:val="none" w:sz="0" w:space="0" w:color="auto"/>
                              </w:divBdr>
                              <w:divsChild>
                                <w:div w:id="1565678309">
                                  <w:marLeft w:val="0"/>
                                  <w:marRight w:val="0"/>
                                  <w:marTop w:val="0"/>
                                  <w:marBottom w:val="0"/>
                                  <w:divBdr>
                                    <w:top w:val="none" w:sz="0" w:space="0" w:color="auto"/>
                                    <w:left w:val="none" w:sz="0" w:space="0" w:color="auto"/>
                                    <w:bottom w:val="none" w:sz="0" w:space="0" w:color="auto"/>
                                    <w:right w:val="none" w:sz="0" w:space="0" w:color="auto"/>
                                  </w:divBdr>
                                  <w:divsChild>
                                    <w:div w:id="93408500">
                                      <w:marLeft w:val="0"/>
                                      <w:marRight w:val="0"/>
                                      <w:marTop w:val="0"/>
                                      <w:marBottom w:val="0"/>
                                      <w:divBdr>
                                        <w:top w:val="none" w:sz="0" w:space="0" w:color="auto"/>
                                        <w:left w:val="none" w:sz="0" w:space="0" w:color="auto"/>
                                        <w:bottom w:val="none" w:sz="0" w:space="0" w:color="auto"/>
                                        <w:right w:val="none" w:sz="0" w:space="0" w:color="auto"/>
                                      </w:divBdr>
                                      <w:divsChild>
                                        <w:div w:id="2060930584">
                                          <w:marLeft w:val="0"/>
                                          <w:marRight w:val="0"/>
                                          <w:marTop w:val="0"/>
                                          <w:marBottom w:val="0"/>
                                          <w:divBdr>
                                            <w:top w:val="none" w:sz="0" w:space="0" w:color="auto"/>
                                            <w:left w:val="none" w:sz="0" w:space="0" w:color="auto"/>
                                            <w:bottom w:val="none" w:sz="0" w:space="0" w:color="auto"/>
                                            <w:right w:val="none" w:sz="0" w:space="0" w:color="auto"/>
                                          </w:divBdr>
                                          <w:divsChild>
                                            <w:div w:id="1938558473">
                                              <w:marLeft w:val="0"/>
                                              <w:marRight w:val="0"/>
                                              <w:marTop w:val="0"/>
                                              <w:marBottom w:val="0"/>
                                              <w:divBdr>
                                                <w:top w:val="none" w:sz="0" w:space="0" w:color="auto"/>
                                                <w:left w:val="none" w:sz="0" w:space="0" w:color="auto"/>
                                                <w:bottom w:val="none" w:sz="0" w:space="0" w:color="auto"/>
                                                <w:right w:val="none" w:sz="0" w:space="0" w:color="auto"/>
                                              </w:divBdr>
                                              <w:divsChild>
                                                <w:div w:id="1616600787">
                                                  <w:marLeft w:val="0"/>
                                                  <w:marRight w:val="0"/>
                                                  <w:marTop w:val="0"/>
                                                  <w:marBottom w:val="0"/>
                                                  <w:divBdr>
                                                    <w:top w:val="none" w:sz="0" w:space="0" w:color="auto"/>
                                                    <w:left w:val="none" w:sz="0" w:space="0" w:color="auto"/>
                                                    <w:bottom w:val="none" w:sz="0" w:space="0" w:color="auto"/>
                                                    <w:right w:val="none" w:sz="0" w:space="0" w:color="auto"/>
                                                  </w:divBdr>
                                                  <w:divsChild>
                                                    <w:div w:id="2096434616">
                                                      <w:marLeft w:val="0"/>
                                                      <w:marRight w:val="0"/>
                                                      <w:marTop w:val="0"/>
                                                      <w:marBottom w:val="0"/>
                                                      <w:divBdr>
                                                        <w:top w:val="none" w:sz="0" w:space="0" w:color="auto"/>
                                                        <w:left w:val="none" w:sz="0" w:space="0" w:color="auto"/>
                                                        <w:bottom w:val="none" w:sz="0" w:space="0" w:color="auto"/>
                                                        <w:right w:val="none" w:sz="0" w:space="0" w:color="auto"/>
                                                      </w:divBdr>
                                                      <w:divsChild>
                                                        <w:div w:id="1711687965">
                                                          <w:marLeft w:val="0"/>
                                                          <w:marRight w:val="0"/>
                                                          <w:marTop w:val="0"/>
                                                          <w:marBottom w:val="0"/>
                                                          <w:divBdr>
                                                            <w:top w:val="none" w:sz="0" w:space="0" w:color="auto"/>
                                                            <w:left w:val="none" w:sz="0" w:space="0" w:color="auto"/>
                                                            <w:bottom w:val="none" w:sz="0" w:space="0" w:color="auto"/>
                                                            <w:right w:val="none" w:sz="0" w:space="0" w:color="auto"/>
                                                          </w:divBdr>
                                                          <w:divsChild>
                                                            <w:div w:id="177430511">
                                                              <w:marLeft w:val="0"/>
                                                              <w:marRight w:val="0"/>
                                                              <w:marTop w:val="0"/>
                                                              <w:marBottom w:val="0"/>
                                                              <w:divBdr>
                                                                <w:top w:val="none" w:sz="0" w:space="0" w:color="auto"/>
                                                                <w:left w:val="none" w:sz="0" w:space="0" w:color="auto"/>
                                                                <w:bottom w:val="none" w:sz="0" w:space="0" w:color="auto"/>
                                                                <w:right w:val="none" w:sz="0" w:space="0" w:color="auto"/>
                                                              </w:divBdr>
                                                              <w:divsChild>
                                                                <w:div w:id="463737494">
                                                                  <w:marLeft w:val="-210"/>
                                                                  <w:marRight w:val="-75"/>
                                                                  <w:marTop w:val="0"/>
                                                                  <w:marBottom w:val="0"/>
                                                                  <w:divBdr>
                                                                    <w:top w:val="none" w:sz="0" w:space="0" w:color="auto"/>
                                                                    <w:left w:val="none" w:sz="0" w:space="0" w:color="auto"/>
                                                                    <w:bottom w:val="none" w:sz="0" w:space="0" w:color="auto"/>
                                                                    <w:right w:val="none" w:sz="0" w:space="0" w:color="auto"/>
                                                                  </w:divBdr>
                                                                  <w:divsChild>
                                                                    <w:div w:id="1957367456">
                                                                      <w:marLeft w:val="0"/>
                                                                      <w:marRight w:val="0"/>
                                                                      <w:marTop w:val="0"/>
                                                                      <w:marBottom w:val="0"/>
                                                                      <w:divBdr>
                                                                        <w:top w:val="none" w:sz="0" w:space="0" w:color="auto"/>
                                                                        <w:left w:val="none" w:sz="0" w:space="0" w:color="auto"/>
                                                                        <w:bottom w:val="none" w:sz="0" w:space="0" w:color="auto"/>
                                                                        <w:right w:val="none" w:sz="0" w:space="0" w:color="auto"/>
                                                                      </w:divBdr>
                                                                      <w:divsChild>
                                                                        <w:div w:id="417213553">
                                                                          <w:marLeft w:val="0"/>
                                                                          <w:marRight w:val="0"/>
                                                                          <w:marTop w:val="0"/>
                                                                          <w:marBottom w:val="0"/>
                                                                          <w:divBdr>
                                                                            <w:top w:val="none" w:sz="0" w:space="0" w:color="auto"/>
                                                                            <w:left w:val="none" w:sz="0" w:space="0" w:color="auto"/>
                                                                            <w:bottom w:val="none" w:sz="0" w:space="0" w:color="auto"/>
                                                                            <w:right w:val="none" w:sz="0" w:space="0" w:color="auto"/>
                                                                          </w:divBdr>
                                                                          <w:divsChild>
                                                                            <w:div w:id="2007318646">
                                                                              <w:marLeft w:val="0"/>
                                                                              <w:marRight w:val="0"/>
                                                                              <w:marTop w:val="0"/>
                                                                              <w:marBottom w:val="0"/>
                                                                              <w:divBdr>
                                                                                <w:top w:val="none" w:sz="0" w:space="0" w:color="auto"/>
                                                                                <w:left w:val="none" w:sz="0" w:space="0" w:color="auto"/>
                                                                                <w:bottom w:val="none" w:sz="0" w:space="0" w:color="auto"/>
                                                                                <w:right w:val="none" w:sz="0" w:space="0" w:color="auto"/>
                                                                              </w:divBdr>
                                                                              <w:divsChild>
                                                                                <w:div w:id="650066080">
                                                                                  <w:marLeft w:val="0"/>
                                                                                  <w:marRight w:val="0"/>
                                                                                  <w:marTop w:val="0"/>
                                                                                  <w:marBottom w:val="0"/>
                                                                                  <w:divBdr>
                                                                                    <w:top w:val="none" w:sz="0" w:space="0" w:color="auto"/>
                                                                                    <w:left w:val="none" w:sz="0" w:space="0" w:color="auto"/>
                                                                                    <w:bottom w:val="none" w:sz="0" w:space="0" w:color="auto"/>
                                                                                    <w:right w:val="none" w:sz="0" w:space="0" w:color="auto"/>
                                                                                  </w:divBdr>
                                                                                  <w:divsChild>
                                                                                    <w:div w:id="688021795">
                                                                                      <w:marLeft w:val="0"/>
                                                                                      <w:marRight w:val="0"/>
                                                                                      <w:marTop w:val="0"/>
                                                                                      <w:marBottom w:val="0"/>
                                                                                      <w:divBdr>
                                                                                        <w:top w:val="none" w:sz="0" w:space="0" w:color="auto"/>
                                                                                        <w:left w:val="none" w:sz="0" w:space="0" w:color="auto"/>
                                                                                        <w:bottom w:val="none" w:sz="0" w:space="0" w:color="auto"/>
                                                                                        <w:right w:val="none" w:sz="0" w:space="0" w:color="auto"/>
                                                                                      </w:divBdr>
                                                                                      <w:divsChild>
                                                                                        <w:div w:id="12500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762442">
      <w:bodyDiv w:val="1"/>
      <w:marLeft w:val="0"/>
      <w:marRight w:val="0"/>
      <w:marTop w:val="0"/>
      <w:marBottom w:val="0"/>
      <w:divBdr>
        <w:top w:val="none" w:sz="0" w:space="0" w:color="auto"/>
        <w:left w:val="none" w:sz="0" w:space="0" w:color="auto"/>
        <w:bottom w:val="none" w:sz="0" w:space="0" w:color="auto"/>
        <w:right w:val="none" w:sz="0" w:space="0" w:color="auto"/>
      </w:divBdr>
    </w:div>
    <w:div w:id="1068068217">
      <w:bodyDiv w:val="1"/>
      <w:marLeft w:val="0"/>
      <w:marRight w:val="0"/>
      <w:marTop w:val="0"/>
      <w:marBottom w:val="0"/>
      <w:divBdr>
        <w:top w:val="none" w:sz="0" w:space="0" w:color="auto"/>
        <w:left w:val="none" w:sz="0" w:space="0" w:color="auto"/>
        <w:bottom w:val="none" w:sz="0" w:space="0" w:color="auto"/>
        <w:right w:val="none" w:sz="0" w:space="0" w:color="auto"/>
      </w:divBdr>
    </w:div>
    <w:div w:id="1197813666">
      <w:bodyDiv w:val="1"/>
      <w:marLeft w:val="0"/>
      <w:marRight w:val="0"/>
      <w:marTop w:val="0"/>
      <w:marBottom w:val="0"/>
      <w:divBdr>
        <w:top w:val="none" w:sz="0" w:space="0" w:color="auto"/>
        <w:left w:val="none" w:sz="0" w:space="0" w:color="auto"/>
        <w:bottom w:val="none" w:sz="0" w:space="0" w:color="auto"/>
        <w:right w:val="none" w:sz="0" w:space="0" w:color="auto"/>
      </w:divBdr>
      <w:divsChild>
        <w:div w:id="679310746">
          <w:marLeft w:val="1166"/>
          <w:marRight w:val="0"/>
          <w:marTop w:val="96"/>
          <w:marBottom w:val="0"/>
          <w:divBdr>
            <w:top w:val="none" w:sz="0" w:space="0" w:color="auto"/>
            <w:left w:val="none" w:sz="0" w:space="0" w:color="auto"/>
            <w:bottom w:val="none" w:sz="0" w:space="0" w:color="auto"/>
            <w:right w:val="none" w:sz="0" w:space="0" w:color="auto"/>
          </w:divBdr>
        </w:div>
      </w:divsChild>
    </w:div>
    <w:div w:id="1294674149">
      <w:bodyDiv w:val="1"/>
      <w:marLeft w:val="0"/>
      <w:marRight w:val="0"/>
      <w:marTop w:val="0"/>
      <w:marBottom w:val="0"/>
      <w:divBdr>
        <w:top w:val="none" w:sz="0" w:space="0" w:color="auto"/>
        <w:left w:val="none" w:sz="0" w:space="0" w:color="auto"/>
        <w:bottom w:val="none" w:sz="0" w:space="0" w:color="auto"/>
        <w:right w:val="none" w:sz="0" w:space="0" w:color="auto"/>
      </w:divBdr>
    </w:div>
    <w:div w:id="1310597673">
      <w:bodyDiv w:val="1"/>
      <w:marLeft w:val="0"/>
      <w:marRight w:val="0"/>
      <w:marTop w:val="0"/>
      <w:marBottom w:val="0"/>
      <w:divBdr>
        <w:top w:val="none" w:sz="0" w:space="0" w:color="auto"/>
        <w:left w:val="none" w:sz="0" w:space="0" w:color="auto"/>
        <w:bottom w:val="none" w:sz="0" w:space="0" w:color="auto"/>
        <w:right w:val="none" w:sz="0" w:space="0" w:color="auto"/>
      </w:divBdr>
      <w:divsChild>
        <w:div w:id="152373604">
          <w:marLeft w:val="0"/>
          <w:marRight w:val="0"/>
          <w:marTop w:val="0"/>
          <w:marBottom w:val="0"/>
          <w:divBdr>
            <w:top w:val="none" w:sz="0" w:space="0" w:color="auto"/>
            <w:left w:val="none" w:sz="0" w:space="0" w:color="auto"/>
            <w:bottom w:val="none" w:sz="0" w:space="0" w:color="auto"/>
            <w:right w:val="none" w:sz="0" w:space="0" w:color="auto"/>
          </w:divBdr>
          <w:divsChild>
            <w:div w:id="1734962664">
              <w:marLeft w:val="0"/>
              <w:marRight w:val="0"/>
              <w:marTop w:val="0"/>
              <w:marBottom w:val="0"/>
              <w:divBdr>
                <w:top w:val="none" w:sz="0" w:space="0" w:color="auto"/>
                <w:left w:val="none" w:sz="0" w:space="0" w:color="auto"/>
                <w:bottom w:val="none" w:sz="0" w:space="0" w:color="auto"/>
                <w:right w:val="none" w:sz="0" w:space="0" w:color="auto"/>
              </w:divBdr>
              <w:divsChild>
                <w:div w:id="2001153103">
                  <w:marLeft w:val="0"/>
                  <w:marRight w:val="0"/>
                  <w:marTop w:val="0"/>
                  <w:marBottom w:val="0"/>
                  <w:divBdr>
                    <w:top w:val="none" w:sz="0" w:space="0" w:color="auto"/>
                    <w:left w:val="none" w:sz="0" w:space="0" w:color="auto"/>
                    <w:bottom w:val="none" w:sz="0" w:space="0" w:color="auto"/>
                    <w:right w:val="none" w:sz="0" w:space="0" w:color="auto"/>
                  </w:divBdr>
                  <w:divsChild>
                    <w:div w:id="1329597337">
                      <w:marLeft w:val="0"/>
                      <w:marRight w:val="0"/>
                      <w:marTop w:val="0"/>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sChild>
                            <w:div w:id="267666032">
                              <w:marLeft w:val="0"/>
                              <w:marRight w:val="0"/>
                              <w:marTop w:val="0"/>
                              <w:marBottom w:val="0"/>
                              <w:divBdr>
                                <w:top w:val="none" w:sz="0" w:space="0" w:color="auto"/>
                                <w:left w:val="none" w:sz="0" w:space="0" w:color="auto"/>
                                <w:bottom w:val="none" w:sz="0" w:space="0" w:color="auto"/>
                                <w:right w:val="none" w:sz="0" w:space="0" w:color="auto"/>
                              </w:divBdr>
                              <w:divsChild>
                                <w:div w:id="878475149">
                                  <w:marLeft w:val="0"/>
                                  <w:marRight w:val="0"/>
                                  <w:marTop w:val="0"/>
                                  <w:marBottom w:val="0"/>
                                  <w:divBdr>
                                    <w:top w:val="none" w:sz="0" w:space="0" w:color="auto"/>
                                    <w:left w:val="none" w:sz="0" w:space="0" w:color="auto"/>
                                    <w:bottom w:val="none" w:sz="0" w:space="0" w:color="auto"/>
                                    <w:right w:val="none" w:sz="0" w:space="0" w:color="auto"/>
                                  </w:divBdr>
                                  <w:divsChild>
                                    <w:div w:id="1930501267">
                                      <w:marLeft w:val="0"/>
                                      <w:marRight w:val="0"/>
                                      <w:marTop w:val="0"/>
                                      <w:marBottom w:val="0"/>
                                      <w:divBdr>
                                        <w:top w:val="none" w:sz="0" w:space="0" w:color="auto"/>
                                        <w:left w:val="none" w:sz="0" w:space="0" w:color="auto"/>
                                        <w:bottom w:val="none" w:sz="0" w:space="0" w:color="auto"/>
                                        <w:right w:val="none" w:sz="0" w:space="0" w:color="auto"/>
                                      </w:divBdr>
                                      <w:divsChild>
                                        <w:div w:id="1557935267">
                                          <w:marLeft w:val="0"/>
                                          <w:marRight w:val="0"/>
                                          <w:marTop w:val="0"/>
                                          <w:marBottom w:val="0"/>
                                          <w:divBdr>
                                            <w:top w:val="none" w:sz="0" w:space="0" w:color="auto"/>
                                            <w:left w:val="none" w:sz="0" w:space="0" w:color="auto"/>
                                            <w:bottom w:val="none" w:sz="0" w:space="0" w:color="auto"/>
                                            <w:right w:val="none" w:sz="0" w:space="0" w:color="auto"/>
                                          </w:divBdr>
                                          <w:divsChild>
                                            <w:div w:id="2103261597">
                                              <w:marLeft w:val="0"/>
                                              <w:marRight w:val="0"/>
                                              <w:marTop w:val="0"/>
                                              <w:marBottom w:val="0"/>
                                              <w:divBdr>
                                                <w:top w:val="none" w:sz="0" w:space="0" w:color="auto"/>
                                                <w:left w:val="none" w:sz="0" w:space="0" w:color="auto"/>
                                                <w:bottom w:val="none" w:sz="0" w:space="0" w:color="auto"/>
                                                <w:right w:val="none" w:sz="0" w:space="0" w:color="auto"/>
                                              </w:divBdr>
                                              <w:divsChild>
                                                <w:div w:id="1456605448">
                                                  <w:marLeft w:val="0"/>
                                                  <w:marRight w:val="0"/>
                                                  <w:marTop w:val="0"/>
                                                  <w:marBottom w:val="0"/>
                                                  <w:divBdr>
                                                    <w:top w:val="none" w:sz="0" w:space="0" w:color="auto"/>
                                                    <w:left w:val="none" w:sz="0" w:space="0" w:color="auto"/>
                                                    <w:bottom w:val="none" w:sz="0" w:space="0" w:color="auto"/>
                                                    <w:right w:val="none" w:sz="0" w:space="0" w:color="auto"/>
                                                  </w:divBdr>
                                                  <w:divsChild>
                                                    <w:div w:id="2117433892">
                                                      <w:marLeft w:val="0"/>
                                                      <w:marRight w:val="0"/>
                                                      <w:marTop w:val="0"/>
                                                      <w:marBottom w:val="0"/>
                                                      <w:divBdr>
                                                        <w:top w:val="none" w:sz="0" w:space="0" w:color="auto"/>
                                                        <w:left w:val="none" w:sz="0" w:space="0" w:color="auto"/>
                                                        <w:bottom w:val="none" w:sz="0" w:space="0" w:color="auto"/>
                                                        <w:right w:val="none" w:sz="0" w:space="0" w:color="auto"/>
                                                      </w:divBdr>
                                                      <w:divsChild>
                                                        <w:div w:id="991375910">
                                                          <w:marLeft w:val="0"/>
                                                          <w:marRight w:val="0"/>
                                                          <w:marTop w:val="0"/>
                                                          <w:marBottom w:val="0"/>
                                                          <w:divBdr>
                                                            <w:top w:val="none" w:sz="0" w:space="0" w:color="auto"/>
                                                            <w:left w:val="none" w:sz="0" w:space="0" w:color="auto"/>
                                                            <w:bottom w:val="none" w:sz="0" w:space="0" w:color="auto"/>
                                                            <w:right w:val="none" w:sz="0" w:space="0" w:color="auto"/>
                                                          </w:divBdr>
                                                          <w:divsChild>
                                                            <w:div w:id="641470750">
                                                              <w:marLeft w:val="0"/>
                                                              <w:marRight w:val="0"/>
                                                              <w:marTop w:val="0"/>
                                                              <w:marBottom w:val="0"/>
                                                              <w:divBdr>
                                                                <w:top w:val="none" w:sz="0" w:space="0" w:color="auto"/>
                                                                <w:left w:val="none" w:sz="0" w:space="0" w:color="auto"/>
                                                                <w:bottom w:val="none" w:sz="0" w:space="0" w:color="auto"/>
                                                                <w:right w:val="none" w:sz="0" w:space="0" w:color="auto"/>
                                                              </w:divBdr>
                                                              <w:divsChild>
                                                                <w:div w:id="1523933936">
                                                                  <w:marLeft w:val="-210"/>
                                                                  <w:marRight w:val="-75"/>
                                                                  <w:marTop w:val="0"/>
                                                                  <w:marBottom w:val="0"/>
                                                                  <w:divBdr>
                                                                    <w:top w:val="none" w:sz="0" w:space="0" w:color="auto"/>
                                                                    <w:left w:val="none" w:sz="0" w:space="0" w:color="auto"/>
                                                                    <w:bottom w:val="none" w:sz="0" w:space="0" w:color="auto"/>
                                                                    <w:right w:val="none" w:sz="0" w:space="0" w:color="auto"/>
                                                                  </w:divBdr>
                                                                  <w:divsChild>
                                                                    <w:div w:id="886453904">
                                                                      <w:marLeft w:val="0"/>
                                                                      <w:marRight w:val="0"/>
                                                                      <w:marTop w:val="0"/>
                                                                      <w:marBottom w:val="0"/>
                                                                      <w:divBdr>
                                                                        <w:top w:val="none" w:sz="0" w:space="0" w:color="auto"/>
                                                                        <w:left w:val="none" w:sz="0" w:space="0" w:color="auto"/>
                                                                        <w:bottom w:val="none" w:sz="0" w:space="0" w:color="auto"/>
                                                                        <w:right w:val="none" w:sz="0" w:space="0" w:color="auto"/>
                                                                      </w:divBdr>
                                                                      <w:divsChild>
                                                                        <w:div w:id="1736127296">
                                                                          <w:marLeft w:val="0"/>
                                                                          <w:marRight w:val="0"/>
                                                                          <w:marTop w:val="0"/>
                                                                          <w:marBottom w:val="0"/>
                                                                          <w:divBdr>
                                                                            <w:top w:val="none" w:sz="0" w:space="0" w:color="auto"/>
                                                                            <w:left w:val="none" w:sz="0" w:space="0" w:color="auto"/>
                                                                            <w:bottom w:val="none" w:sz="0" w:space="0" w:color="auto"/>
                                                                            <w:right w:val="none" w:sz="0" w:space="0" w:color="auto"/>
                                                                          </w:divBdr>
                                                                          <w:divsChild>
                                                                            <w:div w:id="835800089">
                                                                              <w:marLeft w:val="0"/>
                                                                              <w:marRight w:val="0"/>
                                                                              <w:marTop w:val="0"/>
                                                                              <w:marBottom w:val="0"/>
                                                                              <w:divBdr>
                                                                                <w:top w:val="none" w:sz="0" w:space="0" w:color="auto"/>
                                                                                <w:left w:val="none" w:sz="0" w:space="0" w:color="auto"/>
                                                                                <w:bottom w:val="none" w:sz="0" w:space="0" w:color="auto"/>
                                                                                <w:right w:val="none" w:sz="0" w:space="0" w:color="auto"/>
                                                                              </w:divBdr>
                                                                              <w:divsChild>
                                                                                <w:div w:id="96681733">
                                                                                  <w:marLeft w:val="0"/>
                                                                                  <w:marRight w:val="0"/>
                                                                                  <w:marTop w:val="0"/>
                                                                                  <w:marBottom w:val="0"/>
                                                                                  <w:divBdr>
                                                                                    <w:top w:val="none" w:sz="0" w:space="0" w:color="auto"/>
                                                                                    <w:left w:val="none" w:sz="0" w:space="0" w:color="auto"/>
                                                                                    <w:bottom w:val="none" w:sz="0" w:space="0" w:color="auto"/>
                                                                                    <w:right w:val="none" w:sz="0" w:space="0" w:color="auto"/>
                                                                                  </w:divBdr>
                                                                                  <w:divsChild>
                                                                                    <w:div w:id="831289369">
                                                                                      <w:marLeft w:val="0"/>
                                                                                      <w:marRight w:val="0"/>
                                                                                      <w:marTop w:val="0"/>
                                                                                      <w:marBottom w:val="0"/>
                                                                                      <w:divBdr>
                                                                                        <w:top w:val="none" w:sz="0" w:space="0" w:color="auto"/>
                                                                                        <w:left w:val="none" w:sz="0" w:space="0" w:color="auto"/>
                                                                                        <w:bottom w:val="none" w:sz="0" w:space="0" w:color="auto"/>
                                                                                        <w:right w:val="none" w:sz="0" w:space="0" w:color="auto"/>
                                                                                      </w:divBdr>
                                                                                      <w:divsChild>
                                                                                        <w:div w:id="418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149476">
      <w:bodyDiv w:val="1"/>
      <w:marLeft w:val="0"/>
      <w:marRight w:val="0"/>
      <w:marTop w:val="0"/>
      <w:marBottom w:val="0"/>
      <w:divBdr>
        <w:top w:val="none" w:sz="0" w:space="0" w:color="auto"/>
        <w:left w:val="none" w:sz="0" w:space="0" w:color="auto"/>
        <w:bottom w:val="none" w:sz="0" w:space="0" w:color="auto"/>
        <w:right w:val="none" w:sz="0" w:space="0" w:color="auto"/>
      </w:divBdr>
    </w:div>
    <w:div w:id="1703938801">
      <w:bodyDiv w:val="1"/>
      <w:marLeft w:val="0"/>
      <w:marRight w:val="0"/>
      <w:marTop w:val="0"/>
      <w:marBottom w:val="0"/>
      <w:divBdr>
        <w:top w:val="none" w:sz="0" w:space="0" w:color="auto"/>
        <w:left w:val="none" w:sz="0" w:space="0" w:color="auto"/>
        <w:bottom w:val="none" w:sz="0" w:space="0" w:color="auto"/>
        <w:right w:val="none" w:sz="0" w:space="0" w:color="auto"/>
      </w:divBdr>
      <w:divsChild>
        <w:div w:id="1098671687">
          <w:marLeft w:val="0"/>
          <w:marRight w:val="0"/>
          <w:marTop w:val="0"/>
          <w:marBottom w:val="0"/>
          <w:divBdr>
            <w:top w:val="none" w:sz="0" w:space="0" w:color="auto"/>
            <w:left w:val="none" w:sz="0" w:space="0" w:color="auto"/>
            <w:bottom w:val="none" w:sz="0" w:space="0" w:color="auto"/>
            <w:right w:val="none" w:sz="0" w:space="0" w:color="auto"/>
          </w:divBdr>
          <w:divsChild>
            <w:div w:id="1584024910">
              <w:marLeft w:val="0"/>
              <w:marRight w:val="0"/>
              <w:marTop w:val="0"/>
              <w:marBottom w:val="0"/>
              <w:divBdr>
                <w:top w:val="none" w:sz="0" w:space="0" w:color="auto"/>
                <w:left w:val="none" w:sz="0" w:space="0" w:color="auto"/>
                <w:bottom w:val="none" w:sz="0" w:space="0" w:color="auto"/>
                <w:right w:val="none" w:sz="0" w:space="0" w:color="auto"/>
              </w:divBdr>
              <w:divsChild>
                <w:div w:id="1227372554">
                  <w:marLeft w:val="0"/>
                  <w:marRight w:val="0"/>
                  <w:marTop w:val="0"/>
                  <w:marBottom w:val="0"/>
                  <w:divBdr>
                    <w:top w:val="none" w:sz="0" w:space="0" w:color="auto"/>
                    <w:left w:val="none" w:sz="0" w:space="0" w:color="auto"/>
                    <w:bottom w:val="none" w:sz="0" w:space="0" w:color="auto"/>
                    <w:right w:val="none" w:sz="0" w:space="0" w:color="auto"/>
                  </w:divBdr>
                  <w:divsChild>
                    <w:div w:id="1925649097">
                      <w:marLeft w:val="0"/>
                      <w:marRight w:val="0"/>
                      <w:marTop w:val="0"/>
                      <w:marBottom w:val="0"/>
                      <w:divBdr>
                        <w:top w:val="none" w:sz="0" w:space="0" w:color="auto"/>
                        <w:left w:val="none" w:sz="0" w:space="0" w:color="auto"/>
                        <w:bottom w:val="none" w:sz="0" w:space="0" w:color="auto"/>
                        <w:right w:val="none" w:sz="0" w:space="0" w:color="auto"/>
                      </w:divBdr>
                      <w:divsChild>
                        <w:div w:id="220597632">
                          <w:marLeft w:val="0"/>
                          <w:marRight w:val="0"/>
                          <w:marTop w:val="0"/>
                          <w:marBottom w:val="0"/>
                          <w:divBdr>
                            <w:top w:val="none" w:sz="0" w:space="0" w:color="auto"/>
                            <w:left w:val="none" w:sz="0" w:space="0" w:color="auto"/>
                            <w:bottom w:val="none" w:sz="0" w:space="0" w:color="auto"/>
                            <w:right w:val="none" w:sz="0" w:space="0" w:color="auto"/>
                          </w:divBdr>
                          <w:divsChild>
                            <w:div w:id="104930069">
                              <w:marLeft w:val="0"/>
                              <w:marRight w:val="0"/>
                              <w:marTop w:val="0"/>
                              <w:marBottom w:val="0"/>
                              <w:divBdr>
                                <w:top w:val="none" w:sz="0" w:space="0" w:color="auto"/>
                                <w:left w:val="none" w:sz="0" w:space="0" w:color="auto"/>
                                <w:bottom w:val="none" w:sz="0" w:space="0" w:color="auto"/>
                                <w:right w:val="none" w:sz="0" w:space="0" w:color="auto"/>
                              </w:divBdr>
                              <w:divsChild>
                                <w:div w:id="1234781259">
                                  <w:marLeft w:val="0"/>
                                  <w:marRight w:val="0"/>
                                  <w:marTop w:val="0"/>
                                  <w:marBottom w:val="0"/>
                                  <w:divBdr>
                                    <w:top w:val="none" w:sz="0" w:space="0" w:color="auto"/>
                                    <w:left w:val="none" w:sz="0" w:space="0" w:color="auto"/>
                                    <w:bottom w:val="none" w:sz="0" w:space="0" w:color="auto"/>
                                    <w:right w:val="none" w:sz="0" w:space="0" w:color="auto"/>
                                  </w:divBdr>
                                  <w:divsChild>
                                    <w:div w:id="519011612">
                                      <w:marLeft w:val="0"/>
                                      <w:marRight w:val="0"/>
                                      <w:marTop w:val="0"/>
                                      <w:marBottom w:val="0"/>
                                      <w:divBdr>
                                        <w:top w:val="none" w:sz="0" w:space="0" w:color="auto"/>
                                        <w:left w:val="none" w:sz="0" w:space="0" w:color="auto"/>
                                        <w:bottom w:val="none" w:sz="0" w:space="0" w:color="auto"/>
                                        <w:right w:val="none" w:sz="0" w:space="0" w:color="auto"/>
                                      </w:divBdr>
                                      <w:divsChild>
                                        <w:div w:id="1785885234">
                                          <w:marLeft w:val="0"/>
                                          <w:marRight w:val="0"/>
                                          <w:marTop w:val="0"/>
                                          <w:marBottom w:val="0"/>
                                          <w:divBdr>
                                            <w:top w:val="none" w:sz="0" w:space="0" w:color="auto"/>
                                            <w:left w:val="none" w:sz="0" w:space="0" w:color="auto"/>
                                            <w:bottom w:val="none" w:sz="0" w:space="0" w:color="auto"/>
                                            <w:right w:val="none" w:sz="0" w:space="0" w:color="auto"/>
                                          </w:divBdr>
                                          <w:divsChild>
                                            <w:div w:id="900945021">
                                              <w:marLeft w:val="0"/>
                                              <w:marRight w:val="0"/>
                                              <w:marTop w:val="0"/>
                                              <w:marBottom w:val="0"/>
                                              <w:divBdr>
                                                <w:top w:val="none" w:sz="0" w:space="0" w:color="auto"/>
                                                <w:left w:val="none" w:sz="0" w:space="0" w:color="auto"/>
                                                <w:bottom w:val="none" w:sz="0" w:space="0" w:color="auto"/>
                                                <w:right w:val="none" w:sz="0" w:space="0" w:color="auto"/>
                                              </w:divBdr>
                                              <w:divsChild>
                                                <w:div w:id="2048329329">
                                                  <w:marLeft w:val="0"/>
                                                  <w:marRight w:val="0"/>
                                                  <w:marTop w:val="0"/>
                                                  <w:marBottom w:val="0"/>
                                                  <w:divBdr>
                                                    <w:top w:val="none" w:sz="0" w:space="0" w:color="auto"/>
                                                    <w:left w:val="none" w:sz="0" w:space="0" w:color="auto"/>
                                                    <w:bottom w:val="none" w:sz="0" w:space="0" w:color="auto"/>
                                                    <w:right w:val="none" w:sz="0" w:space="0" w:color="auto"/>
                                                  </w:divBdr>
                                                  <w:divsChild>
                                                    <w:div w:id="810751501">
                                                      <w:marLeft w:val="0"/>
                                                      <w:marRight w:val="0"/>
                                                      <w:marTop w:val="0"/>
                                                      <w:marBottom w:val="0"/>
                                                      <w:divBdr>
                                                        <w:top w:val="none" w:sz="0" w:space="0" w:color="auto"/>
                                                        <w:left w:val="none" w:sz="0" w:space="0" w:color="auto"/>
                                                        <w:bottom w:val="none" w:sz="0" w:space="0" w:color="auto"/>
                                                        <w:right w:val="none" w:sz="0" w:space="0" w:color="auto"/>
                                                      </w:divBdr>
                                                      <w:divsChild>
                                                        <w:div w:id="1994411738">
                                                          <w:marLeft w:val="0"/>
                                                          <w:marRight w:val="0"/>
                                                          <w:marTop w:val="0"/>
                                                          <w:marBottom w:val="0"/>
                                                          <w:divBdr>
                                                            <w:top w:val="none" w:sz="0" w:space="0" w:color="auto"/>
                                                            <w:left w:val="none" w:sz="0" w:space="0" w:color="auto"/>
                                                            <w:bottom w:val="none" w:sz="0" w:space="0" w:color="auto"/>
                                                            <w:right w:val="none" w:sz="0" w:space="0" w:color="auto"/>
                                                          </w:divBdr>
                                                          <w:divsChild>
                                                            <w:div w:id="332758074">
                                                              <w:marLeft w:val="0"/>
                                                              <w:marRight w:val="0"/>
                                                              <w:marTop w:val="0"/>
                                                              <w:marBottom w:val="0"/>
                                                              <w:divBdr>
                                                                <w:top w:val="none" w:sz="0" w:space="0" w:color="auto"/>
                                                                <w:left w:val="none" w:sz="0" w:space="0" w:color="auto"/>
                                                                <w:bottom w:val="none" w:sz="0" w:space="0" w:color="auto"/>
                                                                <w:right w:val="none" w:sz="0" w:space="0" w:color="auto"/>
                                                              </w:divBdr>
                                                              <w:divsChild>
                                                                <w:div w:id="1997490859">
                                                                  <w:marLeft w:val="-210"/>
                                                                  <w:marRight w:val="-75"/>
                                                                  <w:marTop w:val="0"/>
                                                                  <w:marBottom w:val="0"/>
                                                                  <w:divBdr>
                                                                    <w:top w:val="none" w:sz="0" w:space="0" w:color="auto"/>
                                                                    <w:left w:val="none" w:sz="0" w:space="0" w:color="auto"/>
                                                                    <w:bottom w:val="none" w:sz="0" w:space="0" w:color="auto"/>
                                                                    <w:right w:val="none" w:sz="0" w:space="0" w:color="auto"/>
                                                                  </w:divBdr>
                                                                  <w:divsChild>
                                                                    <w:div w:id="108478862">
                                                                      <w:marLeft w:val="0"/>
                                                                      <w:marRight w:val="0"/>
                                                                      <w:marTop w:val="0"/>
                                                                      <w:marBottom w:val="0"/>
                                                                      <w:divBdr>
                                                                        <w:top w:val="none" w:sz="0" w:space="0" w:color="auto"/>
                                                                        <w:left w:val="none" w:sz="0" w:space="0" w:color="auto"/>
                                                                        <w:bottom w:val="none" w:sz="0" w:space="0" w:color="auto"/>
                                                                        <w:right w:val="none" w:sz="0" w:space="0" w:color="auto"/>
                                                                      </w:divBdr>
                                                                      <w:divsChild>
                                                                        <w:div w:id="1994523668">
                                                                          <w:marLeft w:val="0"/>
                                                                          <w:marRight w:val="0"/>
                                                                          <w:marTop w:val="0"/>
                                                                          <w:marBottom w:val="0"/>
                                                                          <w:divBdr>
                                                                            <w:top w:val="none" w:sz="0" w:space="0" w:color="auto"/>
                                                                            <w:left w:val="none" w:sz="0" w:space="0" w:color="auto"/>
                                                                            <w:bottom w:val="none" w:sz="0" w:space="0" w:color="auto"/>
                                                                            <w:right w:val="none" w:sz="0" w:space="0" w:color="auto"/>
                                                                          </w:divBdr>
                                                                          <w:divsChild>
                                                                            <w:div w:id="1254246301">
                                                                              <w:marLeft w:val="0"/>
                                                                              <w:marRight w:val="0"/>
                                                                              <w:marTop w:val="0"/>
                                                                              <w:marBottom w:val="0"/>
                                                                              <w:divBdr>
                                                                                <w:top w:val="none" w:sz="0" w:space="0" w:color="auto"/>
                                                                                <w:left w:val="none" w:sz="0" w:space="0" w:color="auto"/>
                                                                                <w:bottom w:val="none" w:sz="0" w:space="0" w:color="auto"/>
                                                                                <w:right w:val="none" w:sz="0" w:space="0" w:color="auto"/>
                                                                              </w:divBdr>
                                                                              <w:divsChild>
                                                                                <w:div w:id="901251781">
                                                                                  <w:marLeft w:val="0"/>
                                                                                  <w:marRight w:val="0"/>
                                                                                  <w:marTop w:val="0"/>
                                                                                  <w:marBottom w:val="0"/>
                                                                                  <w:divBdr>
                                                                                    <w:top w:val="none" w:sz="0" w:space="0" w:color="auto"/>
                                                                                    <w:left w:val="none" w:sz="0" w:space="0" w:color="auto"/>
                                                                                    <w:bottom w:val="none" w:sz="0" w:space="0" w:color="auto"/>
                                                                                    <w:right w:val="none" w:sz="0" w:space="0" w:color="auto"/>
                                                                                  </w:divBdr>
                                                                                  <w:divsChild>
                                                                                    <w:div w:id="422145681">
                                                                                      <w:marLeft w:val="0"/>
                                                                                      <w:marRight w:val="0"/>
                                                                                      <w:marTop w:val="0"/>
                                                                                      <w:marBottom w:val="0"/>
                                                                                      <w:divBdr>
                                                                                        <w:top w:val="none" w:sz="0" w:space="0" w:color="auto"/>
                                                                                        <w:left w:val="none" w:sz="0" w:space="0" w:color="auto"/>
                                                                                        <w:bottom w:val="none" w:sz="0" w:space="0" w:color="auto"/>
                                                                                        <w:right w:val="none" w:sz="0" w:space="0" w:color="auto"/>
                                                                                      </w:divBdr>
                                                                                    </w:div>
                                                                                    <w:div w:id="480852860">
                                                                                      <w:marLeft w:val="0"/>
                                                                                      <w:marRight w:val="0"/>
                                                                                      <w:marTop w:val="0"/>
                                                                                      <w:marBottom w:val="0"/>
                                                                                      <w:divBdr>
                                                                                        <w:top w:val="none" w:sz="0" w:space="0" w:color="auto"/>
                                                                                        <w:left w:val="none" w:sz="0" w:space="0" w:color="auto"/>
                                                                                        <w:bottom w:val="none" w:sz="0" w:space="0" w:color="auto"/>
                                                                                        <w:right w:val="none" w:sz="0" w:space="0" w:color="auto"/>
                                                                                      </w:divBdr>
                                                                                    </w:div>
                                                                                    <w:div w:id="737635544">
                                                                                      <w:marLeft w:val="0"/>
                                                                                      <w:marRight w:val="0"/>
                                                                                      <w:marTop w:val="0"/>
                                                                                      <w:marBottom w:val="0"/>
                                                                                      <w:divBdr>
                                                                                        <w:top w:val="none" w:sz="0" w:space="0" w:color="auto"/>
                                                                                        <w:left w:val="none" w:sz="0" w:space="0" w:color="auto"/>
                                                                                        <w:bottom w:val="none" w:sz="0" w:space="0" w:color="auto"/>
                                                                                        <w:right w:val="none" w:sz="0" w:space="0" w:color="auto"/>
                                                                                      </w:divBdr>
                                                                                    </w:div>
                                                                                    <w:div w:id="785122063">
                                                                                      <w:marLeft w:val="0"/>
                                                                                      <w:marRight w:val="0"/>
                                                                                      <w:marTop w:val="0"/>
                                                                                      <w:marBottom w:val="0"/>
                                                                                      <w:divBdr>
                                                                                        <w:top w:val="none" w:sz="0" w:space="0" w:color="auto"/>
                                                                                        <w:left w:val="none" w:sz="0" w:space="0" w:color="auto"/>
                                                                                        <w:bottom w:val="none" w:sz="0" w:space="0" w:color="auto"/>
                                                                                        <w:right w:val="none" w:sz="0" w:space="0" w:color="auto"/>
                                                                                      </w:divBdr>
                                                                                    </w:div>
                                                                                    <w:div w:id="904756257">
                                                                                      <w:marLeft w:val="0"/>
                                                                                      <w:marRight w:val="0"/>
                                                                                      <w:marTop w:val="0"/>
                                                                                      <w:marBottom w:val="0"/>
                                                                                      <w:divBdr>
                                                                                        <w:top w:val="none" w:sz="0" w:space="0" w:color="auto"/>
                                                                                        <w:left w:val="none" w:sz="0" w:space="0" w:color="auto"/>
                                                                                        <w:bottom w:val="none" w:sz="0" w:space="0" w:color="auto"/>
                                                                                        <w:right w:val="none" w:sz="0" w:space="0" w:color="auto"/>
                                                                                      </w:divBdr>
                                                                                    </w:div>
                                                                                    <w:div w:id="1305047042">
                                                                                      <w:marLeft w:val="0"/>
                                                                                      <w:marRight w:val="0"/>
                                                                                      <w:marTop w:val="0"/>
                                                                                      <w:marBottom w:val="0"/>
                                                                                      <w:divBdr>
                                                                                        <w:top w:val="none" w:sz="0" w:space="0" w:color="auto"/>
                                                                                        <w:left w:val="none" w:sz="0" w:space="0" w:color="auto"/>
                                                                                        <w:bottom w:val="none" w:sz="0" w:space="0" w:color="auto"/>
                                                                                        <w:right w:val="none" w:sz="0" w:space="0" w:color="auto"/>
                                                                                      </w:divBdr>
                                                                                    </w:div>
                                                                                    <w:div w:id="15144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848319">
      <w:bodyDiv w:val="1"/>
      <w:marLeft w:val="0"/>
      <w:marRight w:val="0"/>
      <w:marTop w:val="0"/>
      <w:marBottom w:val="0"/>
      <w:divBdr>
        <w:top w:val="none" w:sz="0" w:space="0" w:color="auto"/>
        <w:left w:val="none" w:sz="0" w:space="0" w:color="auto"/>
        <w:bottom w:val="none" w:sz="0" w:space="0" w:color="auto"/>
        <w:right w:val="none" w:sz="0" w:space="0" w:color="auto"/>
      </w:divBdr>
    </w:div>
    <w:div w:id="1935088842">
      <w:bodyDiv w:val="1"/>
      <w:marLeft w:val="0"/>
      <w:marRight w:val="0"/>
      <w:marTop w:val="0"/>
      <w:marBottom w:val="0"/>
      <w:divBdr>
        <w:top w:val="none" w:sz="0" w:space="0" w:color="auto"/>
        <w:left w:val="none" w:sz="0" w:space="0" w:color="auto"/>
        <w:bottom w:val="none" w:sz="0" w:space="0" w:color="auto"/>
        <w:right w:val="none" w:sz="0" w:space="0" w:color="auto"/>
      </w:divBdr>
    </w:div>
    <w:div w:id="2072194095">
      <w:bodyDiv w:val="1"/>
      <w:marLeft w:val="0"/>
      <w:marRight w:val="0"/>
      <w:marTop w:val="0"/>
      <w:marBottom w:val="0"/>
      <w:divBdr>
        <w:top w:val="none" w:sz="0" w:space="0" w:color="auto"/>
        <w:left w:val="none" w:sz="0" w:space="0" w:color="auto"/>
        <w:bottom w:val="none" w:sz="0" w:space="0" w:color="auto"/>
        <w:right w:val="none" w:sz="0" w:space="0" w:color="auto"/>
      </w:divBdr>
    </w:div>
    <w:div w:id="21409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apps.urban.org/features/wealth-inequality-charts/" TargetMode="External"/><Relationship Id="rId26" Type="http://schemas.openxmlformats.org/officeDocument/2006/relationships/hyperlink" Target="https://prosperitynow.org/blog/how-us-tax-code-drives-inequality-and-what-we-can-do-fix-it" TargetMode="External"/><Relationship Id="rId39" Type="http://schemas.openxmlformats.org/officeDocument/2006/relationships/hyperlink" Target="https://iasp.brandeis.edu/pdfs/Author/shapiro-thomas-m/racialwealthgapbrief.pdf" TargetMode="External"/><Relationship Id="rId21" Type="http://schemas.openxmlformats.org/officeDocument/2006/relationships/hyperlink" Target="https://alliancetoendhunger.org/wp-content/uploads/2017/07/Factsheet_Alliance-To-End-Hunger_HUNGER-IS-A-RACIAL-EQUITY-ISSUE_071917.pdf" TargetMode="External"/><Relationship Id="rId34" Type="http://schemas.openxmlformats.org/officeDocument/2006/relationships/hyperlink" Target="http://www.pewsocialtrends.org/2011/07/26/wealth-gaps-rise-to-record-highs-between-whites-blacks-hispanics/" TargetMode="External"/><Relationship Id="rId42" Type="http://schemas.openxmlformats.org/officeDocument/2006/relationships/hyperlink" Target="http://www.pewtrusts.org/en/research-and-analysis/articles/2018/02/16/the-racial-wealth-gap-and-todays-american-dream"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http://nlihc.org/article/house-finance-subcommittee-holds-hearing-rent-reform" TargetMode="External"/><Relationship Id="rId63" Type="http://schemas.openxmlformats.org/officeDocument/2006/relationships/hyperlink" Target="https://www.congress.gov/bill/115th-congress/senate-bill/3250?q=%7B%22search%22%3A%5B%22kamala+harris%22%5D%7D&amp;r=1"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xfamamerica.org/explore/stories/richest-1-percent-captured-82-percent-of-wealth-created-last-year-while-poorest-half-of-the-world-got-nothing-1/"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recard.prosperitynow.org/data-by-issue" TargetMode="External"/><Relationship Id="rId24" Type="http://schemas.openxmlformats.org/officeDocument/2006/relationships/image" Target="media/image6.png"/><Relationship Id="rId32" Type="http://schemas.openxmlformats.org/officeDocument/2006/relationships/hyperlink" Target="https://www.npr.org/books/titles/526656129/the-color-of-law-a-forgotten-history-of-how-our-government-segregated-america" TargetMode="External"/><Relationship Id="rId37" Type="http://schemas.openxmlformats.org/officeDocument/2006/relationships/image" Target="media/image8.jpg"/><Relationship Id="rId40" Type="http://schemas.openxmlformats.org/officeDocument/2006/relationships/image" Target="media/image10.png"/><Relationship Id="rId45" Type="http://schemas.openxmlformats.org/officeDocument/2006/relationships/hyperlink" Target="http://rooseveltinstitute.org/hidden-rules-new-tax-law/" TargetMode="External"/><Relationship Id="rId53" Type="http://schemas.openxmlformats.org/officeDocument/2006/relationships/hyperlink" Target="https://www.cbpp.org/research/federal-tax/policy-basics-the-earned-income-tax-credit" TargetMode="External"/><Relationship Id="rId58" Type="http://schemas.openxmlformats.org/officeDocument/2006/relationships/hyperlink" Target="https://www.congress.gov/bill/115th-congress/house-bill/1661" TargetMode="External"/><Relationship Id="rId66" Type="http://schemas.openxmlformats.org/officeDocument/2006/relationships/hyperlink" Target="https://www.congress.gov/bill/115th-congress/senate-bill/3040/text" TargetMode="External"/><Relationship Id="rId5" Type="http://schemas.openxmlformats.org/officeDocument/2006/relationships/numbering" Target="numbering.xml"/><Relationship Id="rId15" Type="http://schemas.openxmlformats.org/officeDocument/2006/relationships/hyperlink" Target="https://www.statista.com/statistics/203961/wealth-distribution-for-the-us/" TargetMode="External"/><Relationship Id="rId23" Type="http://schemas.openxmlformats.org/officeDocument/2006/relationships/image" Target="media/image5.png"/><Relationship Id="rId28" Type="http://schemas.openxmlformats.org/officeDocument/2006/relationships/diagramLayout" Target="diagrams/layout1.xml"/><Relationship Id="rId36" Type="http://schemas.openxmlformats.org/officeDocument/2006/relationships/hyperlink" Target="https://globalpolicysolutions.org/wp-content/uploads/2017/07/Unemployment-Data-by-Race.pdf" TargetMode="External"/><Relationship Id="rId49" Type="http://schemas.openxmlformats.org/officeDocument/2006/relationships/hyperlink" Target="https://www.policylink.org/sites/default/files/pl_brief_tax_110714_c_0.pdf" TargetMode="External"/><Relationship Id="rId57" Type="http://schemas.openxmlformats.org/officeDocument/2006/relationships/hyperlink" Target="https://www.cantwell.senate.gov/imo/media/doc/Senator%20Cantwell%20LIHTC%20Report.pdf" TargetMode="External"/><Relationship Id="rId61" Type="http://schemas.openxmlformats.org/officeDocument/2006/relationships/hyperlink" Target="https://www.congress.gov/bill/115th-congress/house-bill/5793?r=40" TargetMode="External"/><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1.xml"/><Relationship Id="rId44" Type="http://schemas.openxmlformats.org/officeDocument/2006/relationships/hyperlink" Target="https://prosperitynow.org/blog/how-us-tax-code-drives-inequality-and-what-we-can-do-fix-it" TargetMode="External"/><Relationship Id="rId52" Type="http://schemas.openxmlformats.org/officeDocument/2006/relationships/image" Target="media/image15.png"/><Relationship Id="rId60" Type="http://schemas.openxmlformats.org/officeDocument/2006/relationships/hyperlink" Target="https://www.novoco.com/notes-from-novogradac/final-tax-reform-bill-would-reduce-affordable-rental-housing-production-nearly-235000-homes" TargetMode="External"/><Relationship Id="rId65" Type="http://schemas.openxmlformats.org/officeDocument/2006/relationships/hyperlink" Target="https://www.congress.gov/bill/115th-congress/house-bill/43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speritynow.org/files/resources/2018-Prosperity-Now-Scorecard-Main-Findings-Report_0.pdf" TargetMode="External"/><Relationship Id="rId22" Type="http://schemas.openxmlformats.org/officeDocument/2006/relationships/hyperlink" Target="https://socialequity.duke.edu/sites/socialequity.duke.edu/files/site-images/FINAL%20COMPLETE%20REPORT_.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png"/><Relationship Id="rId43" Type="http://schemas.openxmlformats.org/officeDocument/2006/relationships/hyperlink" Target="https://www.investopedia.com/terms/home-mortgage-interest.asp" TargetMode="External"/><Relationship Id="rId48" Type="http://schemas.openxmlformats.org/officeDocument/2006/relationships/hyperlink" Target="http://rooseveltinstitute.org/hidden-rules-new-tax-law/" TargetMode="External"/><Relationship Id="rId56" Type="http://schemas.openxmlformats.org/officeDocument/2006/relationships/hyperlink" Target="https://www.congress.gov/bill/115th-congress/senate-bill/548" TargetMode="External"/><Relationship Id="rId64" Type="http://schemas.openxmlformats.org/officeDocument/2006/relationships/hyperlink" Target="https://www.congress.gov/bill/115th-congress/house-bill/3670?q=%7B%22search%22%3A%5B%22rent+relief+bill%22%5D%7D&amp;r=1"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www.cnn.com/2018/06/14/us/minimum-wage-2-bedroom-trnd/index.html" TargetMode="External"/><Relationship Id="rId33" Type="http://schemas.openxmlformats.org/officeDocument/2006/relationships/hyperlink" Target="https://www.sentencingproject.org/wp-content/uploads/2016/06/The-Color-of-Justice-Racial-and-Ethnic-Disparity-in-State-Prisons.pdf" TargetMode="External"/><Relationship Id="rId38" Type="http://schemas.openxmlformats.org/officeDocument/2006/relationships/image" Target="media/image9.png"/><Relationship Id="rId46" Type="http://schemas.openxmlformats.org/officeDocument/2006/relationships/image" Target="media/image11.png"/><Relationship Id="rId59" Type="http://schemas.openxmlformats.org/officeDocument/2006/relationships/hyperlink" Target="https://www.novoco.com/notes-from-novogradac/final-tax-reform-bill-would-reduce-affordable-rental-housing-production-nearly-235000-homes" TargetMode="External"/><Relationship Id="rId67" Type="http://schemas.openxmlformats.org/officeDocument/2006/relationships/header" Target="header1.xml"/><Relationship Id="rId20" Type="http://schemas.openxmlformats.org/officeDocument/2006/relationships/hyperlink" Target="https://www.opportunityhome.org/resources/what-is-opportunity-starts-at-home/" TargetMode="External"/><Relationship Id="rId41" Type="http://schemas.openxmlformats.org/officeDocument/2006/relationships/hyperlink" Target="https://prosperitynow.org/blog/wealth-building-wealthy-through-tax-code-continues-families-color-fall-further-behind" TargetMode="External"/><Relationship Id="rId54" Type="http://schemas.openxmlformats.org/officeDocument/2006/relationships/hyperlink" Target="https://prosperitynow.org/files/resources/The_Ever_Growing_Gap-CFED_IPS-Final.pdf" TargetMode="External"/><Relationship Id="rId62" Type="http://schemas.openxmlformats.org/officeDocument/2006/relationships/hyperlink" Target="https://www.congress.gov/bill/115th-congress/senate-bill/2945/text"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3" Type="http://schemas.openxmlformats.org/officeDocument/2006/relationships/hyperlink" Target="https://prosperitynow.org/files/resources/Running_in_Place_FINAL_3.2018.pdf" TargetMode="External"/><Relationship Id="rId18" Type="http://schemas.openxmlformats.org/officeDocument/2006/relationships/hyperlink" Target="https://supreme.justia.com/cases/federal/us/334/1/case.html" TargetMode="External"/><Relationship Id="rId26" Type="http://schemas.openxmlformats.org/officeDocument/2006/relationships/hyperlink" Target="http://www.pewsocialtrends.org/2011/07/26/wealth-gaps-rise-to-record-highs-between-whites-blacks-hispanics/" TargetMode="External"/><Relationship Id="rId39" Type="http://schemas.openxmlformats.org/officeDocument/2006/relationships/hyperlink" Target="https://www.washingtonpost.com/news/wonk/wp/2017/12/15/the-final-gop-tax-bill-is-complete-heres-what-is-in-it/?noredirect=on&amp;utm_term=.bf09ac9e9095" TargetMode="External"/><Relationship Id="rId21" Type="http://schemas.openxmlformats.org/officeDocument/2006/relationships/hyperlink" Target="https://prosperitynow.org/files/resources/The_Ever_Growing_Gap-CFED_IPS-Final.pdf" TargetMode="External"/><Relationship Id="rId34" Type="http://schemas.openxmlformats.org/officeDocument/2006/relationships/hyperlink" Target="https://prosperitynow.org/blog/wealth-building-wealthy-through-tax-code-continues-families-color-fall-further-behind" TargetMode="External"/><Relationship Id="rId42" Type="http://schemas.openxmlformats.org/officeDocument/2006/relationships/hyperlink" Target="https://www.washingtonpost.com/news/wonk/wp/2017/12/15/the-final-gop-tax-bill-is-complete-heres-what-is-in-it/?noredirect=on&amp;utm_term=.bf09ac9e9095" TargetMode="External"/><Relationship Id="rId47" Type="http://schemas.openxmlformats.org/officeDocument/2006/relationships/hyperlink" Target="https://www.cbpp.org/research/federal-tax/policy-basics-the-earned-income-tax-credit" TargetMode="External"/><Relationship Id="rId50" Type="http://schemas.openxmlformats.org/officeDocument/2006/relationships/hyperlink" Target="https://prosperitynow.org/files/resources/The_Ever_Growing_Gap-CFED_IPS-Final.pdf" TargetMode="External"/><Relationship Id="rId55" Type="http://schemas.openxmlformats.org/officeDocument/2006/relationships/hyperlink" Target="https://www.mobilitypartnership.org/helping-young-children-move-out-poverty-creating-new-type-rental-voucher" TargetMode="External"/><Relationship Id="rId63" Type="http://schemas.openxmlformats.org/officeDocument/2006/relationships/hyperlink" Target="https://www.cbpp.org/blog/house-approval-of-housing-voucher-mobility-demonstration-is-encouraging" TargetMode="External"/><Relationship Id="rId7" Type="http://schemas.openxmlformats.org/officeDocument/2006/relationships/hyperlink" Target="http://globalpolicysolutions.org/wp-content/uploads/2016/04/Beyond_Broke_FINAL.pdf" TargetMode="External"/><Relationship Id="rId2" Type="http://schemas.openxmlformats.org/officeDocument/2006/relationships/hyperlink" Target="http://scorecard.prosperitynow.org/data-by-issue" TargetMode="External"/><Relationship Id="rId16" Type="http://schemas.openxmlformats.org/officeDocument/2006/relationships/hyperlink" Target="https://www.npr.org/books/titles/526656129/the-color-of-law-a-forgotten-history-of-how-our-government-segregated-america" TargetMode="External"/><Relationship Id="rId20" Type="http://schemas.openxmlformats.org/officeDocument/2006/relationships/hyperlink" Target="https://www.epi.org/publication/modern-segregation/" TargetMode="External"/><Relationship Id="rId29" Type="http://schemas.openxmlformats.org/officeDocument/2006/relationships/hyperlink" Target="https://www.vox.com/2018/5/23/17377084/racial-wealth-gap-explained-netflix" TargetMode="External"/><Relationship Id="rId41" Type="http://schemas.openxmlformats.org/officeDocument/2006/relationships/hyperlink" Target="https://www.cbpp.org/research/federal-tax/new-tax-law-is-fundamentally-flawed-and-will-require-basic-restructuring" TargetMode="External"/><Relationship Id="rId54" Type="http://schemas.openxmlformats.org/officeDocument/2006/relationships/hyperlink" Target="http://nlihc.org/sites/default/files/Gap-Report_2017.pdf" TargetMode="External"/><Relationship Id="rId62" Type="http://schemas.openxmlformats.org/officeDocument/2006/relationships/hyperlink" Target="https://www.novoco.com/notes-from-novogradac/final-tax-reform-bill-would-reduce-affordable-rental-housing-production-nearly-235000-homes" TargetMode="External"/><Relationship Id="rId1" Type="http://schemas.openxmlformats.org/officeDocument/2006/relationships/hyperlink" Target="https://www.nytimes.com/2018/05/18/opinion/wealth-inequality-families-children-elderly.html" TargetMode="External"/><Relationship Id="rId6" Type="http://schemas.openxmlformats.org/officeDocument/2006/relationships/hyperlink" Target="http://apps.urban.org/features/wealth-inequality-charts/" TargetMode="External"/><Relationship Id="rId11" Type="http://schemas.openxmlformats.org/officeDocument/2006/relationships/hyperlink" Target="http://nlihc.org/gap" TargetMode="External"/><Relationship Id="rId24" Type="http://schemas.openxmlformats.org/officeDocument/2006/relationships/hyperlink" Target="http://files.bread.org/institute/simulation/Racial-Wealth-Gap-Policy-Packet.pdf?_ga=2.69274064.1789669477.1529015002-1546765189.1521134376" TargetMode="External"/><Relationship Id="rId32" Type="http://schemas.openxmlformats.org/officeDocument/2006/relationships/hyperlink" Target="https://iasp.brandeis.edu/pdfs/Author/shapiro-thomas-m/racialwealthgapbrief.pdf" TargetMode="External"/><Relationship Id="rId37" Type="http://schemas.openxmlformats.org/officeDocument/2006/relationships/hyperlink" Target="https://iasp.brandeis.edu/pdfs/2017/NLIHC-IASP_MID-Report.pdf" TargetMode="External"/><Relationship Id="rId40" Type="http://schemas.openxmlformats.org/officeDocument/2006/relationships/hyperlink" Target="https://www.americanprogress.org/issues/economy/news/2018/06/14/452195/congress-not-give-second-helping-tax-cuts-rich/" TargetMode="External"/><Relationship Id="rId45" Type="http://schemas.openxmlformats.org/officeDocument/2006/relationships/hyperlink" Target="https://ips-dc.org/wp-content/uploads/2017/09/The-Road-to-Zero-Wealth_FINAL.pdf" TargetMode="External"/><Relationship Id="rId53" Type="http://schemas.openxmlformats.org/officeDocument/2006/relationships/hyperlink" Target="https://prosperitynow.org/files/resources/a_downpayment_on_the_divide_03-2017.pdf" TargetMode="External"/><Relationship Id="rId58" Type="http://schemas.openxmlformats.org/officeDocument/2006/relationships/hyperlink" Target="https://www.cbpp.org/blog/renters-tax-credit-would-complement-existing-housing-development-credit" TargetMode="External"/><Relationship Id="rId5" Type="http://schemas.openxmlformats.org/officeDocument/2006/relationships/hyperlink" Target="https://www.statista.com/statistics/203961/wealth-distribution-for-the-us/" TargetMode="External"/><Relationship Id="rId15" Type="http://schemas.openxmlformats.org/officeDocument/2006/relationships/hyperlink" Target="https://dsl.richmond.edu/panorama/renewal/" TargetMode="External"/><Relationship Id="rId23" Type="http://schemas.openxmlformats.org/officeDocument/2006/relationships/hyperlink" Target="https://www.thirteen.org/wnet/jimcrow/" TargetMode="External"/><Relationship Id="rId28" Type="http://schemas.openxmlformats.org/officeDocument/2006/relationships/hyperlink" Target="https://socialequity.duke.edu/sites/socialequity.duke.edu/files/site-images/FINAL%20COMPLETE%20REPORT_.pdf" TargetMode="External"/><Relationship Id="rId36" Type="http://schemas.openxmlformats.org/officeDocument/2006/relationships/hyperlink" Target="https://iasp.brandeis.edu/pdfs/2017/NLIHC-IASP_MID-Report.pdf" TargetMode="External"/><Relationship Id="rId49" Type="http://schemas.openxmlformats.org/officeDocument/2006/relationships/hyperlink" Target="https://iasp.brandeis.edu/research/RWG/RWA.html" TargetMode="External"/><Relationship Id="rId57" Type="http://schemas.openxmlformats.org/officeDocument/2006/relationships/hyperlink" Target="https://affordablehousingonline.com/source-of-income-antidiscrimination-laws" TargetMode="External"/><Relationship Id="rId61" Type="http://schemas.openxmlformats.org/officeDocument/2006/relationships/hyperlink" Target="http://www.housingfinance.com/policy-legislation/lihtc-increase-included-in-spending-bill_o" TargetMode="External"/><Relationship Id="rId10" Type="http://schemas.openxmlformats.org/officeDocument/2006/relationships/hyperlink" Target="https://socialequity.duke.edu/sites/socialequity.duke.edu/files/site-images/FINAL%20COMPLETE%20REPORT_.pdf" TargetMode="External"/><Relationship Id="rId19" Type="http://schemas.openxmlformats.org/officeDocument/2006/relationships/hyperlink" Target="https://portal.hud.gov/hudportal/HUD?src=/program_offices/fair_housing_equal_opp/progdesc/title8" TargetMode="External"/><Relationship Id="rId31" Type="http://schemas.openxmlformats.org/officeDocument/2006/relationships/hyperlink" Target="http://www.insightcced.org/wp-content/uploads/2015/08/Umbrellas_Dont_Make_It_Rain_Final.pdf" TargetMode="External"/><Relationship Id="rId44" Type="http://schemas.openxmlformats.org/officeDocument/2006/relationships/hyperlink" Target="https://www.policylink.org/sites/default/files/pl_brief_tax_110714_c_0.pdf" TargetMode="External"/><Relationship Id="rId52" Type="http://schemas.openxmlformats.org/officeDocument/2006/relationships/hyperlink" Target="https://www.washingtonpost.com/news/wonk/wp/2018/04/06/how-12-experts-would-end-inequality-if-they-ran-america/?noredirect=on&amp;utm_term=.e09da5773ccc" TargetMode="External"/><Relationship Id="rId60" Type="http://schemas.openxmlformats.org/officeDocument/2006/relationships/hyperlink" Target="http://nlihc.org/sites/default/files/Ross-Rent-Proposal_0418.pdf" TargetMode="External"/><Relationship Id="rId65" Type="http://schemas.openxmlformats.org/officeDocument/2006/relationships/hyperlink" Target="https://prosperitynow.org/blog/bill-inclusive-credit-scores-could-narrow-racial-wealth-gap-and-build-financial-security" TargetMode="External"/><Relationship Id="rId4" Type="http://schemas.openxmlformats.org/officeDocument/2006/relationships/hyperlink" Target="https://www.oxfamamerica.org/static/media/files/bp-reward-work-not-wealth-220118-en.pdf" TargetMode="External"/><Relationship Id="rId9" Type="http://schemas.openxmlformats.org/officeDocument/2006/relationships/hyperlink" Target="https://alliancetoendhunger.org/wp-content/uploads/2017/07/Factsheet_Alliance-To-End-Hunger_HUNGER-IS-A-RACIAL-EQUITY-ISSUE_071917.pdf" TargetMode="External"/><Relationship Id="rId14" Type="http://schemas.openxmlformats.org/officeDocument/2006/relationships/hyperlink" Target="http://files.bread.org/institute/simulation/Racial-Wealth-Gap-Policy-Packet.pdf?_ga=2.159261306.1788427538.1530137179-966109393.1526321415" TargetMode="External"/><Relationship Id="rId22" Type="http://schemas.openxmlformats.org/officeDocument/2006/relationships/hyperlink" Target="https://www.history.com/topics/world-war-ii/gi-bill" TargetMode="External"/><Relationship Id="rId27" Type="http://schemas.openxmlformats.org/officeDocument/2006/relationships/hyperlink" Target="http://globalpolicysolutions.org/wp-content/uploads/2016/04/Beyond_Broke_FINAL.pdf" TargetMode="External"/><Relationship Id="rId30" Type="http://schemas.openxmlformats.org/officeDocument/2006/relationships/hyperlink" Target="https://globalpolicysolutions.org/wp-content/uploads/2017/07/Unemployment-Data-by-Race.pdf" TargetMode="External"/><Relationship Id="rId35" Type="http://schemas.openxmlformats.org/officeDocument/2006/relationships/hyperlink" Target="https://www.investopedia.com/terms/home-mortgage-interest.asp" TargetMode="External"/><Relationship Id="rId43" Type="http://schemas.openxmlformats.org/officeDocument/2006/relationships/hyperlink" Target="http://rooseveltinstitute.org/hidden-rules-new-tax-law/" TargetMode="External"/><Relationship Id="rId48" Type="http://schemas.openxmlformats.org/officeDocument/2006/relationships/hyperlink" Target="https://socialequity.duke.edu/sites/socialequity.duke.edu/files/site-images/FINAL%20COMPLETE%20REPORT_.pdf" TargetMode="External"/><Relationship Id="rId56" Type="http://schemas.openxmlformats.org/officeDocument/2006/relationships/hyperlink" Target="http://nlihc.org/rental-programs/catalog/emergency-rental-assistance-program-erap" TargetMode="External"/><Relationship Id="rId64" Type="http://schemas.openxmlformats.org/officeDocument/2006/relationships/hyperlink" Target="https://www.washingtonpost.com/amphtml/business/2018/07/19/rents-soar-democrats-push-new-policies-affordable-housing/?noredirect=on&amp;__twitter_impression=true" TargetMode="External"/><Relationship Id="rId8" Type="http://schemas.openxmlformats.org/officeDocument/2006/relationships/hyperlink" Target="https://www.opportunityhome.org/resources/what-is-opportunity-starts-at-home/" TargetMode="External"/><Relationship Id="rId51" Type="http://schemas.openxmlformats.org/officeDocument/2006/relationships/hyperlink" Target="https://www.cbpp.org/research/federal-tax/policy-basics-the-child-tax-credit" TargetMode="External"/><Relationship Id="rId3" Type="http://schemas.openxmlformats.org/officeDocument/2006/relationships/hyperlink" Target="http://scorecard.prosperitynow.org/2016/calculator" TargetMode="External"/><Relationship Id="rId12" Type="http://schemas.openxmlformats.org/officeDocument/2006/relationships/hyperlink" Target="http://www.jchs.harvard.edu/sites/default/files/harvard_jchs_state_of_the_nations_housing_2017_chap1.pdf" TargetMode="External"/><Relationship Id="rId17" Type="http://schemas.openxmlformats.org/officeDocument/2006/relationships/hyperlink" Target="https://www.npr.org/books/titles/526656129/the-color-of-law-a-forgotten-history-of-how-our-government-segregated-america" TargetMode="External"/><Relationship Id="rId25" Type="http://schemas.openxmlformats.org/officeDocument/2006/relationships/hyperlink" Target="http://www.pewresearch.org/fact-tank/2014/12/12/racial-wealth-gaps-great-recession/" TargetMode="External"/><Relationship Id="rId33" Type="http://schemas.openxmlformats.org/officeDocument/2006/relationships/hyperlink" Target="http://www.pewtrusts.org/en/research-and-analysis/articles/2018/02/16/the-racial-wealth-gap-and-todays-american-dream" TargetMode="External"/><Relationship Id="rId38" Type="http://schemas.openxmlformats.org/officeDocument/2006/relationships/hyperlink" Target="https://www.washingtonpost.com/news/wonk/wp/2017/12/15/the-final-gop-tax-bill-is-complete-heres-what-is-in-it/?noredirect=on&amp;utm_term=.bf09ac9e9095" TargetMode="External"/><Relationship Id="rId46" Type="http://schemas.openxmlformats.org/officeDocument/2006/relationships/hyperlink" Target="https://prosperitynow.org/blog/wealth-building-wealthy-through-tax-code-continues-families-color-fall-further-behind" TargetMode="External"/><Relationship Id="rId59" Type="http://schemas.openxmlformats.org/officeDocument/2006/relationships/hyperlink" Target="https://www.cbpp.org/blog/trump-plan-would-raise-rents-on-working-families-elderly-people-with-disabilities"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9170C-A913-4156-86F7-3BCFC97C064B}" type="doc">
      <dgm:prSet loTypeId="urn:microsoft.com/office/officeart/2005/8/layout/bProcess3" loCatId="process" qsTypeId="urn:microsoft.com/office/officeart/2005/8/quickstyle/simple1" qsCatId="simple" csTypeId="urn:microsoft.com/office/officeart/2005/8/colors/colorful3" csCatId="colorful" phldr="1"/>
      <dgm:spPr/>
      <dgm:t>
        <a:bodyPr/>
        <a:lstStyle/>
        <a:p>
          <a:endParaRPr lang="en-US"/>
        </a:p>
      </dgm:t>
    </dgm:pt>
    <dgm:pt modelId="{B0779524-ACE3-42DE-B1E8-322503F0BCE3}">
      <dgm:prSet/>
      <dgm:spPr>
        <a:solidFill>
          <a:schemeClr val="accent2">
            <a:lumMod val="75000"/>
          </a:schemeClr>
        </a:solidFill>
      </dgm:spPr>
      <dgm:t>
        <a:bodyPr/>
        <a:lstStyle/>
        <a:p>
          <a:pPr algn="ctr"/>
          <a:r>
            <a:rPr lang="en-US" b="1"/>
            <a:t>1865</a:t>
          </a:r>
        </a:p>
        <a:p>
          <a:pPr algn="ctr"/>
          <a:r>
            <a:rPr lang="en-US"/>
            <a:t>Land Reversals (1865) and Land Seizures (1865-Present Day)</a:t>
          </a:r>
        </a:p>
      </dgm:t>
    </dgm:pt>
    <dgm:pt modelId="{D790025F-A9D0-40EF-9AB2-B7D481FCB4B1}" type="parTrans" cxnId="{31911707-37D5-40B6-A592-C1427152C1AA}">
      <dgm:prSet/>
      <dgm:spPr/>
      <dgm:t>
        <a:bodyPr/>
        <a:lstStyle/>
        <a:p>
          <a:pPr algn="ctr"/>
          <a:endParaRPr lang="en-US"/>
        </a:p>
      </dgm:t>
    </dgm:pt>
    <dgm:pt modelId="{67975414-8352-4408-9C12-676B9E7E8551}" type="sibTrans" cxnId="{31911707-37D5-40B6-A592-C1427152C1AA}">
      <dgm:prSet/>
      <dgm:spPr/>
      <dgm:t>
        <a:bodyPr/>
        <a:lstStyle/>
        <a:p>
          <a:pPr algn="ctr"/>
          <a:endParaRPr lang="en-US"/>
        </a:p>
      </dgm:t>
    </dgm:pt>
    <dgm:pt modelId="{B44FD617-0282-4718-B7F3-E6157A47F46E}">
      <dgm:prSet/>
      <dgm:spPr/>
      <dgm:t>
        <a:bodyPr/>
        <a:lstStyle/>
        <a:p>
          <a:pPr algn="ctr"/>
          <a:r>
            <a:rPr lang="en-US" b="1"/>
            <a:t>1933</a:t>
          </a:r>
        </a:p>
        <a:p>
          <a:pPr algn="ctr"/>
          <a:r>
            <a:rPr lang="en-US"/>
            <a:t>Public Works Administration</a:t>
          </a:r>
        </a:p>
      </dgm:t>
    </dgm:pt>
    <dgm:pt modelId="{CC6605C6-F25C-463F-B843-907B729E0ACC}" type="parTrans" cxnId="{1D3E0453-A9AA-4DAE-A4E9-15D7F5E94063}">
      <dgm:prSet/>
      <dgm:spPr/>
      <dgm:t>
        <a:bodyPr/>
        <a:lstStyle/>
        <a:p>
          <a:pPr algn="ctr"/>
          <a:endParaRPr lang="en-US"/>
        </a:p>
      </dgm:t>
    </dgm:pt>
    <dgm:pt modelId="{C7B3249E-6D8E-4BF8-872B-0E64CAF54651}" type="sibTrans" cxnId="{1D3E0453-A9AA-4DAE-A4E9-15D7F5E94063}">
      <dgm:prSet/>
      <dgm:spPr/>
      <dgm:t>
        <a:bodyPr/>
        <a:lstStyle/>
        <a:p>
          <a:pPr algn="ctr"/>
          <a:endParaRPr lang="en-US"/>
        </a:p>
      </dgm:t>
    </dgm:pt>
    <dgm:pt modelId="{96C0ADCC-1A88-4A18-A5F8-5C5E73B1BB1F}">
      <dgm:prSet/>
      <dgm:spPr/>
      <dgm:t>
        <a:bodyPr/>
        <a:lstStyle/>
        <a:p>
          <a:pPr algn="ctr"/>
          <a:r>
            <a:rPr lang="en-US" b="1"/>
            <a:t>1934</a:t>
          </a:r>
        </a:p>
        <a:p>
          <a:pPr algn="ctr"/>
          <a:r>
            <a:rPr lang="en-US"/>
            <a:t>National Housing Act</a:t>
          </a:r>
        </a:p>
      </dgm:t>
    </dgm:pt>
    <dgm:pt modelId="{51AA7C08-1ADB-49BC-94EB-1F301AB089FC}" type="parTrans" cxnId="{889F0233-FCCC-44D7-BC2B-27BDA53CD42D}">
      <dgm:prSet/>
      <dgm:spPr/>
      <dgm:t>
        <a:bodyPr/>
        <a:lstStyle/>
        <a:p>
          <a:pPr algn="ctr"/>
          <a:endParaRPr lang="en-US"/>
        </a:p>
      </dgm:t>
    </dgm:pt>
    <dgm:pt modelId="{79EFA2AF-B227-4212-893E-B7AABFC589AF}" type="sibTrans" cxnId="{889F0233-FCCC-44D7-BC2B-27BDA53CD42D}">
      <dgm:prSet/>
      <dgm:spPr/>
      <dgm:t>
        <a:bodyPr/>
        <a:lstStyle/>
        <a:p>
          <a:pPr algn="ctr"/>
          <a:endParaRPr lang="en-US"/>
        </a:p>
      </dgm:t>
    </dgm:pt>
    <dgm:pt modelId="{8419C4D7-370E-450E-B179-C171AAE14A52}">
      <dgm:prSet/>
      <dgm:spPr/>
      <dgm:t>
        <a:bodyPr/>
        <a:lstStyle/>
        <a:p>
          <a:pPr algn="ctr"/>
          <a:r>
            <a:rPr lang="en-US" b="1"/>
            <a:t>1934</a:t>
          </a:r>
        </a:p>
        <a:p>
          <a:pPr algn="ctr"/>
          <a:r>
            <a:rPr lang="en-US"/>
            <a:t>Federal Housing Administration</a:t>
          </a:r>
        </a:p>
      </dgm:t>
    </dgm:pt>
    <dgm:pt modelId="{470EE508-EE71-4043-91CE-A0FDE6E9894A}" type="parTrans" cxnId="{0CCEE494-882B-4CDD-8830-7AB66A36A430}">
      <dgm:prSet/>
      <dgm:spPr/>
      <dgm:t>
        <a:bodyPr/>
        <a:lstStyle/>
        <a:p>
          <a:pPr algn="ctr"/>
          <a:endParaRPr lang="en-US"/>
        </a:p>
      </dgm:t>
    </dgm:pt>
    <dgm:pt modelId="{66CE95D9-C892-412F-8B82-2791B83E9BE2}" type="sibTrans" cxnId="{0CCEE494-882B-4CDD-8830-7AB66A36A430}">
      <dgm:prSet/>
      <dgm:spPr/>
      <dgm:t>
        <a:bodyPr/>
        <a:lstStyle/>
        <a:p>
          <a:pPr algn="ctr"/>
          <a:endParaRPr lang="en-US"/>
        </a:p>
      </dgm:t>
    </dgm:pt>
    <dgm:pt modelId="{4FDD9052-4CA8-4AFF-AE0A-916F4C9104A9}">
      <dgm:prSet/>
      <dgm:spPr/>
      <dgm:t>
        <a:bodyPr/>
        <a:lstStyle/>
        <a:p>
          <a:pPr algn="ctr"/>
          <a:r>
            <a:rPr lang="en-US" b="1"/>
            <a:t>1935</a:t>
          </a:r>
        </a:p>
        <a:p>
          <a:pPr algn="ctr"/>
          <a:r>
            <a:rPr lang="en-US"/>
            <a:t>Social Security Act</a:t>
          </a:r>
        </a:p>
      </dgm:t>
    </dgm:pt>
    <dgm:pt modelId="{C4B529AA-6431-4A27-B29B-60810623E96F}" type="parTrans" cxnId="{D85322D5-7BBE-45C4-9FAC-4E25C4A87A39}">
      <dgm:prSet/>
      <dgm:spPr/>
      <dgm:t>
        <a:bodyPr/>
        <a:lstStyle/>
        <a:p>
          <a:pPr algn="ctr"/>
          <a:endParaRPr lang="en-US"/>
        </a:p>
      </dgm:t>
    </dgm:pt>
    <dgm:pt modelId="{4EA3AA78-E411-457F-BEBE-C5B7AA97BD09}" type="sibTrans" cxnId="{D85322D5-7BBE-45C4-9FAC-4E25C4A87A39}">
      <dgm:prSet/>
      <dgm:spPr/>
      <dgm:t>
        <a:bodyPr/>
        <a:lstStyle/>
        <a:p>
          <a:pPr algn="ctr"/>
          <a:endParaRPr lang="en-US"/>
        </a:p>
      </dgm:t>
    </dgm:pt>
    <dgm:pt modelId="{E6D69EFD-2B74-4935-B7F0-BC5E5D0CC9CD}">
      <dgm:prSet/>
      <dgm:spPr/>
      <dgm:t>
        <a:bodyPr/>
        <a:lstStyle/>
        <a:p>
          <a:pPr algn="ctr"/>
          <a:r>
            <a:rPr lang="en-US" b="1"/>
            <a:t>1938</a:t>
          </a:r>
        </a:p>
        <a:p>
          <a:pPr algn="ctr"/>
          <a:r>
            <a:rPr lang="en-US"/>
            <a:t>Fair Labor Standards Act</a:t>
          </a:r>
        </a:p>
      </dgm:t>
    </dgm:pt>
    <dgm:pt modelId="{59CE0FA6-FFAB-4AEC-AFA0-7DDE044D0DEF}" type="parTrans" cxnId="{B45E143E-20FF-4968-B9C2-ED734AD879AF}">
      <dgm:prSet/>
      <dgm:spPr/>
      <dgm:t>
        <a:bodyPr/>
        <a:lstStyle/>
        <a:p>
          <a:pPr algn="ctr"/>
          <a:endParaRPr lang="en-US"/>
        </a:p>
      </dgm:t>
    </dgm:pt>
    <dgm:pt modelId="{6D781C85-BA25-4E69-8CE2-9236D7B4D509}" type="sibTrans" cxnId="{B45E143E-20FF-4968-B9C2-ED734AD879AF}">
      <dgm:prSet/>
      <dgm:spPr/>
      <dgm:t>
        <a:bodyPr/>
        <a:lstStyle/>
        <a:p>
          <a:pPr algn="ctr"/>
          <a:endParaRPr lang="en-US"/>
        </a:p>
      </dgm:t>
    </dgm:pt>
    <dgm:pt modelId="{28A9FD45-A678-42AB-841C-7429D2B7C551}">
      <dgm:prSet/>
      <dgm:spPr/>
      <dgm:t>
        <a:bodyPr/>
        <a:lstStyle/>
        <a:p>
          <a:pPr algn="ctr"/>
          <a:r>
            <a:rPr lang="en-US" b="1"/>
            <a:t>1944</a:t>
          </a:r>
        </a:p>
        <a:p>
          <a:pPr algn="ctr"/>
          <a:r>
            <a:rPr lang="en-US"/>
            <a:t>G.I. Bill</a:t>
          </a:r>
        </a:p>
      </dgm:t>
    </dgm:pt>
    <dgm:pt modelId="{B69E7DD1-209E-4DDE-9C09-ED92822250F8}" type="parTrans" cxnId="{2FED0C56-0098-4FDE-9907-B5F038E0232A}">
      <dgm:prSet/>
      <dgm:spPr/>
      <dgm:t>
        <a:bodyPr/>
        <a:lstStyle/>
        <a:p>
          <a:pPr algn="ctr"/>
          <a:endParaRPr lang="en-US"/>
        </a:p>
      </dgm:t>
    </dgm:pt>
    <dgm:pt modelId="{6EB6A129-2685-41FD-AC65-3FA7244656AC}" type="sibTrans" cxnId="{2FED0C56-0098-4FDE-9907-B5F038E0232A}">
      <dgm:prSet/>
      <dgm:spPr/>
      <dgm:t>
        <a:bodyPr/>
        <a:lstStyle/>
        <a:p>
          <a:pPr algn="ctr"/>
          <a:endParaRPr lang="en-US"/>
        </a:p>
      </dgm:t>
    </dgm:pt>
    <dgm:pt modelId="{9EB883C1-A31A-4FE2-B569-60DDF4710D9C}">
      <dgm:prSet/>
      <dgm:spPr/>
      <dgm:t>
        <a:bodyPr/>
        <a:lstStyle/>
        <a:p>
          <a:pPr algn="ctr"/>
          <a:r>
            <a:rPr lang="en-US" b="1"/>
            <a:t>1955</a:t>
          </a:r>
        </a:p>
        <a:p>
          <a:pPr algn="ctr"/>
          <a:r>
            <a:rPr lang="en-US"/>
            <a:t>Urban Renewal Projects</a:t>
          </a:r>
        </a:p>
      </dgm:t>
    </dgm:pt>
    <dgm:pt modelId="{9BAD493B-985D-4E4C-8B61-A362A794A4BB}" type="parTrans" cxnId="{70172BA6-D7B8-43E4-89F8-4146DCFC20C6}">
      <dgm:prSet/>
      <dgm:spPr/>
      <dgm:t>
        <a:bodyPr/>
        <a:lstStyle/>
        <a:p>
          <a:pPr algn="ctr"/>
          <a:endParaRPr lang="en-US"/>
        </a:p>
      </dgm:t>
    </dgm:pt>
    <dgm:pt modelId="{3EC5B327-2F7B-42DB-B65A-E5EFD53753C9}" type="sibTrans" cxnId="{70172BA6-D7B8-43E4-89F8-4146DCFC20C6}">
      <dgm:prSet/>
      <dgm:spPr/>
      <dgm:t>
        <a:bodyPr/>
        <a:lstStyle/>
        <a:p>
          <a:pPr algn="ctr"/>
          <a:endParaRPr lang="en-US"/>
        </a:p>
      </dgm:t>
    </dgm:pt>
    <dgm:pt modelId="{A420E91E-4769-4F77-9B71-CA5CA8650067}">
      <dgm:prSet/>
      <dgm:spPr/>
      <dgm:t>
        <a:bodyPr/>
        <a:lstStyle/>
        <a:p>
          <a:pPr algn="ctr"/>
          <a:r>
            <a:rPr lang="en-US" b="1"/>
            <a:t>1970s-Present</a:t>
          </a:r>
        </a:p>
        <a:p>
          <a:pPr algn="ctr"/>
          <a:r>
            <a:rPr lang="en-US"/>
            <a:t>Subprime Loans (1970s-Present Day)</a:t>
          </a:r>
        </a:p>
      </dgm:t>
    </dgm:pt>
    <dgm:pt modelId="{2499B798-D20A-4E9E-B794-DA82FE2983E7}" type="parTrans" cxnId="{5DE62A6B-A1EE-4725-901D-1566203BF3D0}">
      <dgm:prSet/>
      <dgm:spPr/>
      <dgm:t>
        <a:bodyPr/>
        <a:lstStyle/>
        <a:p>
          <a:pPr algn="ctr"/>
          <a:endParaRPr lang="en-US"/>
        </a:p>
      </dgm:t>
    </dgm:pt>
    <dgm:pt modelId="{A9CD2BD0-E217-4BF2-8699-81A6A42F51C8}" type="sibTrans" cxnId="{5DE62A6B-A1EE-4725-901D-1566203BF3D0}">
      <dgm:prSet/>
      <dgm:spPr/>
      <dgm:t>
        <a:bodyPr/>
        <a:lstStyle/>
        <a:p>
          <a:pPr algn="ctr"/>
          <a:endParaRPr lang="en-US"/>
        </a:p>
      </dgm:t>
    </dgm:pt>
    <dgm:pt modelId="{C2889B9C-3AB3-4227-9343-2E7146C4A7A3}">
      <dgm:prSet/>
      <dgm:spPr/>
      <dgm:t>
        <a:bodyPr/>
        <a:lstStyle/>
        <a:p>
          <a:pPr algn="ctr"/>
          <a:r>
            <a:rPr lang="en-US" b="1"/>
            <a:t>1971-Present</a:t>
          </a:r>
        </a:p>
        <a:p>
          <a:pPr algn="ctr"/>
          <a:r>
            <a:rPr lang="en-US"/>
            <a:t>"War on Drugs" (1971-Present Day)</a:t>
          </a:r>
        </a:p>
      </dgm:t>
    </dgm:pt>
    <dgm:pt modelId="{6563496E-AA28-4D25-8388-2D0A499469A6}" type="parTrans" cxnId="{D578AD4A-0D71-46A9-B719-3B8D9DD0CD4C}">
      <dgm:prSet/>
      <dgm:spPr/>
      <dgm:t>
        <a:bodyPr/>
        <a:lstStyle/>
        <a:p>
          <a:pPr algn="ctr"/>
          <a:endParaRPr lang="en-US"/>
        </a:p>
      </dgm:t>
    </dgm:pt>
    <dgm:pt modelId="{AA15AF83-582A-446E-9505-B4036B9E8643}" type="sibTrans" cxnId="{D578AD4A-0D71-46A9-B719-3B8D9DD0CD4C}">
      <dgm:prSet/>
      <dgm:spPr/>
      <dgm:t>
        <a:bodyPr/>
        <a:lstStyle/>
        <a:p>
          <a:pPr algn="ctr"/>
          <a:endParaRPr lang="en-US"/>
        </a:p>
      </dgm:t>
    </dgm:pt>
    <dgm:pt modelId="{CFEDF260-5FB8-4640-9CC4-B44759D6AF24}" type="pres">
      <dgm:prSet presAssocID="{91F9170C-A913-4156-86F7-3BCFC97C064B}" presName="Name0" presStyleCnt="0">
        <dgm:presLayoutVars>
          <dgm:dir/>
          <dgm:resizeHandles val="exact"/>
        </dgm:presLayoutVars>
      </dgm:prSet>
      <dgm:spPr/>
    </dgm:pt>
    <dgm:pt modelId="{FF0365C9-FA51-446F-BEEE-1791BCBF822D}" type="pres">
      <dgm:prSet presAssocID="{B0779524-ACE3-42DE-B1E8-322503F0BCE3}" presName="node" presStyleLbl="node1" presStyleIdx="0" presStyleCnt="10">
        <dgm:presLayoutVars>
          <dgm:bulletEnabled val="1"/>
        </dgm:presLayoutVars>
      </dgm:prSet>
      <dgm:spPr/>
    </dgm:pt>
    <dgm:pt modelId="{99FA9021-1AAD-4C8D-9DEE-0F1CB95C09C9}" type="pres">
      <dgm:prSet presAssocID="{67975414-8352-4408-9C12-676B9E7E8551}" presName="sibTrans" presStyleLbl="sibTrans1D1" presStyleIdx="0" presStyleCnt="9"/>
      <dgm:spPr/>
    </dgm:pt>
    <dgm:pt modelId="{CE8E7E60-9078-4743-AA41-E0689F842F96}" type="pres">
      <dgm:prSet presAssocID="{67975414-8352-4408-9C12-676B9E7E8551}" presName="connectorText" presStyleLbl="sibTrans1D1" presStyleIdx="0" presStyleCnt="9"/>
      <dgm:spPr/>
    </dgm:pt>
    <dgm:pt modelId="{D553399A-0286-4D56-A5AE-2ADEE3C33EBD}" type="pres">
      <dgm:prSet presAssocID="{B44FD617-0282-4718-B7F3-E6157A47F46E}" presName="node" presStyleLbl="node1" presStyleIdx="1" presStyleCnt="10">
        <dgm:presLayoutVars>
          <dgm:bulletEnabled val="1"/>
        </dgm:presLayoutVars>
      </dgm:prSet>
      <dgm:spPr/>
    </dgm:pt>
    <dgm:pt modelId="{74B68C91-D67A-4295-B822-E1C5324D48A3}" type="pres">
      <dgm:prSet presAssocID="{C7B3249E-6D8E-4BF8-872B-0E64CAF54651}" presName="sibTrans" presStyleLbl="sibTrans1D1" presStyleIdx="1" presStyleCnt="9"/>
      <dgm:spPr/>
    </dgm:pt>
    <dgm:pt modelId="{88992228-4493-441C-A8F9-D43FD63966C9}" type="pres">
      <dgm:prSet presAssocID="{C7B3249E-6D8E-4BF8-872B-0E64CAF54651}" presName="connectorText" presStyleLbl="sibTrans1D1" presStyleIdx="1" presStyleCnt="9"/>
      <dgm:spPr/>
    </dgm:pt>
    <dgm:pt modelId="{9B0C8580-099D-4B98-970E-EF6548B18541}" type="pres">
      <dgm:prSet presAssocID="{96C0ADCC-1A88-4A18-A5F8-5C5E73B1BB1F}" presName="node" presStyleLbl="node1" presStyleIdx="2" presStyleCnt="10">
        <dgm:presLayoutVars>
          <dgm:bulletEnabled val="1"/>
        </dgm:presLayoutVars>
      </dgm:prSet>
      <dgm:spPr/>
    </dgm:pt>
    <dgm:pt modelId="{464F768E-076C-49E7-88B0-D8254008C930}" type="pres">
      <dgm:prSet presAssocID="{79EFA2AF-B227-4212-893E-B7AABFC589AF}" presName="sibTrans" presStyleLbl="sibTrans1D1" presStyleIdx="2" presStyleCnt="9"/>
      <dgm:spPr/>
    </dgm:pt>
    <dgm:pt modelId="{74BE20CD-971A-487C-A0D2-4B10CFB4EE29}" type="pres">
      <dgm:prSet presAssocID="{79EFA2AF-B227-4212-893E-B7AABFC589AF}" presName="connectorText" presStyleLbl="sibTrans1D1" presStyleIdx="2" presStyleCnt="9"/>
      <dgm:spPr/>
    </dgm:pt>
    <dgm:pt modelId="{9876749D-2E7F-47AD-A2FA-D6D952B7FE1A}" type="pres">
      <dgm:prSet presAssocID="{8419C4D7-370E-450E-B179-C171AAE14A52}" presName="node" presStyleLbl="node1" presStyleIdx="3" presStyleCnt="10">
        <dgm:presLayoutVars>
          <dgm:bulletEnabled val="1"/>
        </dgm:presLayoutVars>
      </dgm:prSet>
      <dgm:spPr/>
    </dgm:pt>
    <dgm:pt modelId="{28BDB204-6F7C-4A85-94CD-C67DBCAB5D2F}" type="pres">
      <dgm:prSet presAssocID="{66CE95D9-C892-412F-8B82-2791B83E9BE2}" presName="sibTrans" presStyleLbl="sibTrans1D1" presStyleIdx="3" presStyleCnt="9"/>
      <dgm:spPr/>
    </dgm:pt>
    <dgm:pt modelId="{63B3B670-BBF4-489C-BD20-B6E9FC760BDF}" type="pres">
      <dgm:prSet presAssocID="{66CE95D9-C892-412F-8B82-2791B83E9BE2}" presName="connectorText" presStyleLbl="sibTrans1D1" presStyleIdx="3" presStyleCnt="9"/>
      <dgm:spPr/>
    </dgm:pt>
    <dgm:pt modelId="{79A6099A-41E0-457B-91B2-11A5A6CC1B3C}" type="pres">
      <dgm:prSet presAssocID="{4FDD9052-4CA8-4AFF-AE0A-916F4C9104A9}" presName="node" presStyleLbl="node1" presStyleIdx="4" presStyleCnt="10">
        <dgm:presLayoutVars>
          <dgm:bulletEnabled val="1"/>
        </dgm:presLayoutVars>
      </dgm:prSet>
      <dgm:spPr/>
    </dgm:pt>
    <dgm:pt modelId="{AB7D42CA-8485-441F-B68E-CFD05237E9AF}" type="pres">
      <dgm:prSet presAssocID="{4EA3AA78-E411-457F-BEBE-C5B7AA97BD09}" presName="sibTrans" presStyleLbl="sibTrans1D1" presStyleIdx="4" presStyleCnt="9"/>
      <dgm:spPr/>
    </dgm:pt>
    <dgm:pt modelId="{E7DE93A0-ED27-4617-9DB0-75675A0C44F2}" type="pres">
      <dgm:prSet presAssocID="{4EA3AA78-E411-457F-BEBE-C5B7AA97BD09}" presName="connectorText" presStyleLbl="sibTrans1D1" presStyleIdx="4" presStyleCnt="9"/>
      <dgm:spPr/>
    </dgm:pt>
    <dgm:pt modelId="{2FB92436-A73B-45F8-B00E-CCC59AE8B21A}" type="pres">
      <dgm:prSet presAssocID="{E6D69EFD-2B74-4935-B7F0-BC5E5D0CC9CD}" presName="node" presStyleLbl="node1" presStyleIdx="5" presStyleCnt="10">
        <dgm:presLayoutVars>
          <dgm:bulletEnabled val="1"/>
        </dgm:presLayoutVars>
      </dgm:prSet>
      <dgm:spPr/>
    </dgm:pt>
    <dgm:pt modelId="{56D71156-27D2-46DA-8264-113C54A57336}" type="pres">
      <dgm:prSet presAssocID="{6D781C85-BA25-4E69-8CE2-9236D7B4D509}" presName="sibTrans" presStyleLbl="sibTrans1D1" presStyleIdx="5" presStyleCnt="9"/>
      <dgm:spPr/>
    </dgm:pt>
    <dgm:pt modelId="{5BB6253E-E1FD-4F01-9038-306626C58099}" type="pres">
      <dgm:prSet presAssocID="{6D781C85-BA25-4E69-8CE2-9236D7B4D509}" presName="connectorText" presStyleLbl="sibTrans1D1" presStyleIdx="5" presStyleCnt="9"/>
      <dgm:spPr/>
    </dgm:pt>
    <dgm:pt modelId="{064040A3-F676-49ED-B369-3ABC80C4DCFD}" type="pres">
      <dgm:prSet presAssocID="{28A9FD45-A678-42AB-841C-7429D2B7C551}" presName="node" presStyleLbl="node1" presStyleIdx="6" presStyleCnt="10">
        <dgm:presLayoutVars>
          <dgm:bulletEnabled val="1"/>
        </dgm:presLayoutVars>
      </dgm:prSet>
      <dgm:spPr/>
    </dgm:pt>
    <dgm:pt modelId="{B14B31D7-C06F-4993-9733-4FF0F60ACABF}" type="pres">
      <dgm:prSet presAssocID="{6EB6A129-2685-41FD-AC65-3FA7244656AC}" presName="sibTrans" presStyleLbl="sibTrans1D1" presStyleIdx="6" presStyleCnt="9"/>
      <dgm:spPr/>
    </dgm:pt>
    <dgm:pt modelId="{8857B6B9-0D1F-42F6-AA40-82AFF1FF3639}" type="pres">
      <dgm:prSet presAssocID="{6EB6A129-2685-41FD-AC65-3FA7244656AC}" presName="connectorText" presStyleLbl="sibTrans1D1" presStyleIdx="6" presStyleCnt="9"/>
      <dgm:spPr/>
    </dgm:pt>
    <dgm:pt modelId="{1AA4714B-B82D-4EC9-9BE7-F1A57D28A6F1}" type="pres">
      <dgm:prSet presAssocID="{9EB883C1-A31A-4FE2-B569-60DDF4710D9C}" presName="node" presStyleLbl="node1" presStyleIdx="7" presStyleCnt="10">
        <dgm:presLayoutVars>
          <dgm:bulletEnabled val="1"/>
        </dgm:presLayoutVars>
      </dgm:prSet>
      <dgm:spPr/>
    </dgm:pt>
    <dgm:pt modelId="{DFC10AEB-759B-4B9D-B4F0-7DFB62DF9FE8}" type="pres">
      <dgm:prSet presAssocID="{3EC5B327-2F7B-42DB-B65A-E5EFD53753C9}" presName="sibTrans" presStyleLbl="sibTrans1D1" presStyleIdx="7" presStyleCnt="9"/>
      <dgm:spPr/>
    </dgm:pt>
    <dgm:pt modelId="{1A352A84-E62E-4420-9024-3F1A1BB748CB}" type="pres">
      <dgm:prSet presAssocID="{3EC5B327-2F7B-42DB-B65A-E5EFD53753C9}" presName="connectorText" presStyleLbl="sibTrans1D1" presStyleIdx="7" presStyleCnt="9"/>
      <dgm:spPr/>
    </dgm:pt>
    <dgm:pt modelId="{70025476-83FC-47C9-B9F2-AD2E6934E8C7}" type="pres">
      <dgm:prSet presAssocID="{A420E91E-4769-4F77-9B71-CA5CA8650067}" presName="node" presStyleLbl="node1" presStyleIdx="8" presStyleCnt="10">
        <dgm:presLayoutVars>
          <dgm:bulletEnabled val="1"/>
        </dgm:presLayoutVars>
      </dgm:prSet>
      <dgm:spPr/>
    </dgm:pt>
    <dgm:pt modelId="{6BE6510C-8D16-4042-9D7A-F6743821B574}" type="pres">
      <dgm:prSet presAssocID="{A9CD2BD0-E217-4BF2-8699-81A6A42F51C8}" presName="sibTrans" presStyleLbl="sibTrans1D1" presStyleIdx="8" presStyleCnt="9"/>
      <dgm:spPr/>
    </dgm:pt>
    <dgm:pt modelId="{5645C927-5A7D-4753-A169-F0102655658F}" type="pres">
      <dgm:prSet presAssocID="{A9CD2BD0-E217-4BF2-8699-81A6A42F51C8}" presName="connectorText" presStyleLbl="sibTrans1D1" presStyleIdx="8" presStyleCnt="9"/>
      <dgm:spPr/>
    </dgm:pt>
    <dgm:pt modelId="{4757CFFD-4C1F-4398-A3EA-A9C1A2AFB8A5}" type="pres">
      <dgm:prSet presAssocID="{C2889B9C-3AB3-4227-9343-2E7146C4A7A3}" presName="node" presStyleLbl="node1" presStyleIdx="9" presStyleCnt="10">
        <dgm:presLayoutVars>
          <dgm:bulletEnabled val="1"/>
        </dgm:presLayoutVars>
      </dgm:prSet>
      <dgm:spPr/>
    </dgm:pt>
  </dgm:ptLst>
  <dgm:cxnLst>
    <dgm:cxn modelId="{31911707-37D5-40B6-A592-C1427152C1AA}" srcId="{91F9170C-A913-4156-86F7-3BCFC97C064B}" destId="{B0779524-ACE3-42DE-B1E8-322503F0BCE3}" srcOrd="0" destOrd="0" parTransId="{D790025F-A9D0-40EF-9AB2-B7D481FCB4B1}" sibTransId="{67975414-8352-4408-9C12-676B9E7E8551}"/>
    <dgm:cxn modelId="{2027100A-5F46-41D3-AF33-1C1F3D883240}" type="presOf" srcId="{C2889B9C-3AB3-4227-9343-2E7146C4A7A3}" destId="{4757CFFD-4C1F-4398-A3EA-A9C1A2AFB8A5}" srcOrd="0" destOrd="0" presId="urn:microsoft.com/office/officeart/2005/8/layout/bProcess3"/>
    <dgm:cxn modelId="{42F57918-282A-4749-8D17-506E6F7C84EE}" type="presOf" srcId="{3EC5B327-2F7B-42DB-B65A-E5EFD53753C9}" destId="{1A352A84-E62E-4420-9024-3F1A1BB748CB}" srcOrd="1" destOrd="0" presId="urn:microsoft.com/office/officeart/2005/8/layout/bProcess3"/>
    <dgm:cxn modelId="{E9F35C1B-6139-4EBD-B179-D8C749901523}" type="presOf" srcId="{4EA3AA78-E411-457F-BEBE-C5B7AA97BD09}" destId="{E7DE93A0-ED27-4617-9DB0-75675A0C44F2}" srcOrd="1" destOrd="0" presId="urn:microsoft.com/office/officeart/2005/8/layout/bProcess3"/>
    <dgm:cxn modelId="{BA4FA224-2A1E-48F7-A0D0-4FC223C9BCC5}" type="presOf" srcId="{4EA3AA78-E411-457F-BEBE-C5B7AA97BD09}" destId="{AB7D42CA-8485-441F-B68E-CFD05237E9AF}" srcOrd="0" destOrd="0" presId="urn:microsoft.com/office/officeart/2005/8/layout/bProcess3"/>
    <dgm:cxn modelId="{56DC0A27-76B2-493C-82BD-54878A661FAD}" type="presOf" srcId="{C7B3249E-6D8E-4BF8-872B-0E64CAF54651}" destId="{88992228-4493-441C-A8F9-D43FD63966C9}" srcOrd="1" destOrd="0" presId="urn:microsoft.com/office/officeart/2005/8/layout/bProcess3"/>
    <dgm:cxn modelId="{FB8DF527-768A-40C3-8339-AF9440151CAF}" type="presOf" srcId="{E6D69EFD-2B74-4935-B7F0-BC5E5D0CC9CD}" destId="{2FB92436-A73B-45F8-B00E-CCC59AE8B21A}" srcOrd="0" destOrd="0" presId="urn:microsoft.com/office/officeart/2005/8/layout/bProcess3"/>
    <dgm:cxn modelId="{3035AB28-4E85-46D4-9D2A-3F36AD4143D2}" type="presOf" srcId="{B0779524-ACE3-42DE-B1E8-322503F0BCE3}" destId="{FF0365C9-FA51-446F-BEEE-1791BCBF822D}" srcOrd="0" destOrd="0" presId="urn:microsoft.com/office/officeart/2005/8/layout/bProcess3"/>
    <dgm:cxn modelId="{DCAE8831-67DE-479F-A888-B9406846E899}" type="presOf" srcId="{A420E91E-4769-4F77-9B71-CA5CA8650067}" destId="{70025476-83FC-47C9-B9F2-AD2E6934E8C7}" srcOrd="0" destOrd="0" presId="urn:microsoft.com/office/officeart/2005/8/layout/bProcess3"/>
    <dgm:cxn modelId="{889F0233-FCCC-44D7-BC2B-27BDA53CD42D}" srcId="{91F9170C-A913-4156-86F7-3BCFC97C064B}" destId="{96C0ADCC-1A88-4A18-A5F8-5C5E73B1BB1F}" srcOrd="2" destOrd="0" parTransId="{51AA7C08-1ADB-49BC-94EB-1F301AB089FC}" sibTransId="{79EFA2AF-B227-4212-893E-B7AABFC589AF}"/>
    <dgm:cxn modelId="{B45E143E-20FF-4968-B9C2-ED734AD879AF}" srcId="{91F9170C-A913-4156-86F7-3BCFC97C064B}" destId="{E6D69EFD-2B74-4935-B7F0-BC5E5D0CC9CD}" srcOrd="5" destOrd="0" parTransId="{59CE0FA6-FFAB-4AEC-AFA0-7DDE044D0DEF}" sibTransId="{6D781C85-BA25-4E69-8CE2-9236D7B4D509}"/>
    <dgm:cxn modelId="{C719C85B-A832-44CC-8FB9-9095A9D8AF3D}" type="presOf" srcId="{6D781C85-BA25-4E69-8CE2-9236D7B4D509}" destId="{5BB6253E-E1FD-4F01-9038-306626C58099}" srcOrd="1" destOrd="0" presId="urn:microsoft.com/office/officeart/2005/8/layout/bProcess3"/>
    <dgm:cxn modelId="{75A61C62-B18F-4B36-86A4-B44C3B413FCD}" type="presOf" srcId="{C7B3249E-6D8E-4BF8-872B-0E64CAF54651}" destId="{74B68C91-D67A-4295-B822-E1C5324D48A3}" srcOrd="0" destOrd="0" presId="urn:microsoft.com/office/officeart/2005/8/layout/bProcess3"/>
    <dgm:cxn modelId="{E0B07762-DF65-44AE-A2D8-A898798F0B68}" type="presOf" srcId="{66CE95D9-C892-412F-8B82-2791B83E9BE2}" destId="{28BDB204-6F7C-4A85-94CD-C67DBCAB5D2F}" srcOrd="0" destOrd="0" presId="urn:microsoft.com/office/officeart/2005/8/layout/bProcess3"/>
    <dgm:cxn modelId="{040F6445-DB1F-4D79-8202-4AA24B30B1BA}" type="presOf" srcId="{67975414-8352-4408-9C12-676B9E7E8551}" destId="{99FA9021-1AAD-4C8D-9DEE-0F1CB95C09C9}" srcOrd="0" destOrd="0" presId="urn:microsoft.com/office/officeart/2005/8/layout/bProcess3"/>
    <dgm:cxn modelId="{D578AD4A-0D71-46A9-B719-3B8D9DD0CD4C}" srcId="{91F9170C-A913-4156-86F7-3BCFC97C064B}" destId="{C2889B9C-3AB3-4227-9343-2E7146C4A7A3}" srcOrd="9" destOrd="0" parTransId="{6563496E-AA28-4D25-8388-2D0A499469A6}" sibTransId="{AA15AF83-582A-446E-9505-B4036B9E8643}"/>
    <dgm:cxn modelId="{6077FB4A-94C1-473F-975D-45C2F964C913}" type="presOf" srcId="{4FDD9052-4CA8-4AFF-AE0A-916F4C9104A9}" destId="{79A6099A-41E0-457B-91B2-11A5A6CC1B3C}" srcOrd="0" destOrd="0" presId="urn:microsoft.com/office/officeart/2005/8/layout/bProcess3"/>
    <dgm:cxn modelId="{5DE62A6B-A1EE-4725-901D-1566203BF3D0}" srcId="{91F9170C-A913-4156-86F7-3BCFC97C064B}" destId="{A420E91E-4769-4F77-9B71-CA5CA8650067}" srcOrd="8" destOrd="0" parTransId="{2499B798-D20A-4E9E-B794-DA82FE2983E7}" sibTransId="{A9CD2BD0-E217-4BF2-8699-81A6A42F51C8}"/>
    <dgm:cxn modelId="{1D3E0453-A9AA-4DAE-A4E9-15D7F5E94063}" srcId="{91F9170C-A913-4156-86F7-3BCFC97C064B}" destId="{B44FD617-0282-4718-B7F3-E6157A47F46E}" srcOrd="1" destOrd="0" parTransId="{CC6605C6-F25C-463F-B843-907B729E0ACC}" sibTransId="{C7B3249E-6D8E-4BF8-872B-0E64CAF54651}"/>
    <dgm:cxn modelId="{2FED0C56-0098-4FDE-9907-B5F038E0232A}" srcId="{91F9170C-A913-4156-86F7-3BCFC97C064B}" destId="{28A9FD45-A678-42AB-841C-7429D2B7C551}" srcOrd="6" destOrd="0" parTransId="{B69E7DD1-209E-4DDE-9C09-ED92822250F8}" sibTransId="{6EB6A129-2685-41FD-AC65-3FA7244656AC}"/>
    <dgm:cxn modelId="{EBA6E476-5564-441C-9803-4985E6B8428C}" type="presOf" srcId="{66CE95D9-C892-412F-8B82-2791B83E9BE2}" destId="{63B3B670-BBF4-489C-BD20-B6E9FC760BDF}" srcOrd="1" destOrd="0" presId="urn:microsoft.com/office/officeart/2005/8/layout/bProcess3"/>
    <dgm:cxn modelId="{EC5FC479-6DB1-49F5-B93C-26B359D8F4DB}" type="presOf" srcId="{79EFA2AF-B227-4212-893E-B7AABFC589AF}" destId="{464F768E-076C-49E7-88B0-D8254008C930}" srcOrd="0" destOrd="0" presId="urn:microsoft.com/office/officeart/2005/8/layout/bProcess3"/>
    <dgm:cxn modelId="{2A81C67B-780E-47B9-91C4-D51E749CEB1F}" type="presOf" srcId="{28A9FD45-A678-42AB-841C-7429D2B7C551}" destId="{064040A3-F676-49ED-B369-3ABC80C4DCFD}" srcOrd="0" destOrd="0" presId="urn:microsoft.com/office/officeart/2005/8/layout/bProcess3"/>
    <dgm:cxn modelId="{FB58407E-A82B-44FE-8710-ED690897034C}" type="presOf" srcId="{3EC5B327-2F7B-42DB-B65A-E5EFD53753C9}" destId="{DFC10AEB-759B-4B9D-B4F0-7DFB62DF9FE8}" srcOrd="0" destOrd="0" presId="urn:microsoft.com/office/officeart/2005/8/layout/bProcess3"/>
    <dgm:cxn modelId="{F459CF81-7C6C-4BA4-9573-ED61D4D8CDD3}" type="presOf" srcId="{96C0ADCC-1A88-4A18-A5F8-5C5E73B1BB1F}" destId="{9B0C8580-099D-4B98-970E-EF6548B18541}" srcOrd="0" destOrd="0" presId="urn:microsoft.com/office/officeart/2005/8/layout/bProcess3"/>
    <dgm:cxn modelId="{3BCBDA85-50D2-4DF9-805C-3C33850F449D}" type="presOf" srcId="{6EB6A129-2685-41FD-AC65-3FA7244656AC}" destId="{B14B31D7-C06F-4993-9733-4FF0F60ACABF}" srcOrd="0" destOrd="0" presId="urn:microsoft.com/office/officeart/2005/8/layout/bProcess3"/>
    <dgm:cxn modelId="{E1BB2893-8369-45C0-8E3E-885E0E1EFDF9}" type="presOf" srcId="{A9CD2BD0-E217-4BF2-8699-81A6A42F51C8}" destId="{5645C927-5A7D-4753-A169-F0102655658F}" srcOrd="1" destOrd="0" presId="urn:microsoft.com/office/officeart/2005/8/layout/bProcess3"/>
    <dgm:cxn modelId="{0CCEE494-882B-4CDD-8830-7AB66A36A430}" srcId="{91F9170C-A913-4156-86F7-3BCFC97C064B}" destId="{8419C4D7-370E-450E-B179-C171AAE14A52}" srcOrd="3" destOrd="0" parTransId="{470EE508-EE71-4043-91CE-A0FDE6E9894A}" sibTransId="{66CE95D9-C892-412F-8B82-2791B83E9BE2}"/>
    <dgm:cxn modelId="{C9FF33A1-B12C-41B1-B8C9-F9258FB74FF1}" type="presOf" srcId="{8419C4D7-370E-450E-B179-C171AAE14A52}" destId="{9876749D-2E7F-47AD-A2FA-D6D952B7FE1A}" srcOrd="0" destOrd="0" presId="urn:microsoft.com/office/officeart/2005/8/layout/bProcess3"/>
    <dgm:cxn modelId="{70172BA6-D7B8-43E4-89F8-4146DCFC20C6}" srcId="{91F9170C-A913-4156-86F7-3BCFC97C064B}" destId="{9EB883C1-A31A-4FE2-B569-60DDF4710D9C}" srcOrd="7" destOrd="0" parTransId="{9BAD493B-985D-4E4C-8B61-A362A794A4BB}" sibTransId="{3EC5B327-2F7B-42DB-B65A-E5EFD53753C9}"/>
    <dgm:cxn modelId="{DBF24DA8-86AB-47F7-AF44-E919D28D98B1}" type="presOf" srcId="{A9CD2BD0-E217-4BF2-8699-81A6A42F51C8}" destId="{6BE6510C-8D16-4042-9D7A-F6743821B574}" srcOrd="0" destOrd="0" presId="urn:microsoft.com/office/officeart/2005/8/layout/bProcess3"/>
    <dgm:cxn modelId="{D85322D5-7BBE-45C4-9FAC-4E25C4A87A39}" srcId="{91F9170C-A913-4156-86F7-3BCFC97C064B}" destId="{4FDD9052-4CA8-4AFF-AE0A-916F4C9104A9}" srcOrd="4" destOrd="0" parTransId="{C4B529AA-6431-4A27-B29B-60810623E96F}" sibTransId="{4EA3AA78-E411-457F-BEBE-C5B7AA97BD09}"/>
    <dgm:cxn modelId="{7D5F8DDB-5828-4FBB-A01D-B8990516897F}" type="presOf" srcId="{B44FD617-0282-4718-B7F3-E6157A47F46E}" destId="{D553399A-0286-4D56-A5AE-2ADEE3C33EBD}" srcOrd="0" destOrd="0" presId="urn:microsoft.com/office/officeart/2005/8/layout/bProcess3"/>
    <dgm:cxn modelId="{49650AE7-3B2C-4DC9-8C80-7AF226FD9C7D}" type="presOf" srcId="{6EB6A129-2685-41FD-AC65-3FA7244656AC}" destId="{8857B6B9-0D1F-42F6-AA40-82AFF1FF3639}" srcOrd="1" destOrd="0" presId="urn:microsoft.com/office/officeart/2005/8/layout/bProcess3"/>
    <dgm:cxn modelId="{D399F7E9-B63F-49CC-BFEE-A49C5782B923}" type="presOf" srcId="{9EB883C1-A31A-4FE2-B569-60DDF4710D9C}" destId="{1AA4714B-B82D-4EC9-9BE7-F1A57D28A6F1}" srcOrd="0" destOrd="0" presId="urn:microsoft.com/office/officeart/2005/8/layout/bProcess3"/>
    <dgm:cxn modelId="{191700F2-5CBE-45CD-A28A-1420F8AB63F6}" type="presOf" srcId="{67975414-8352-4408-9C12-676B9E7E8551}" destId="{CE8E7E60-9078-4743-AA41-E0689F842F96}" srcOrd="1" destOrd="0" presId="urn:microsoft.com/office/officeart/2005/8/layout/bProcess3"/>
    <dgm:cxn modelId="{EB5D7FF9-BF1A-41DF-8F53-2D2758F12BE7}" type="presOf" srcId="{6D781C85-BA25-4E69-8CE2-9236D7B4D509}" destId="{56D71156-27D2-46DA-8264-113C54A57336}" srcOrd="0" destOrd="0" presId="urn:microsoft.com/office/officeart/2005/8/layout/bProcess3"/>
    <dgm:cxn modelId="{5B6B44FB-9F76-40C7-B3C2-7FA29D20E10C}" type="presOf" srcId="{79EFA2AF-B227-4212-893E-B7AABFC589AF}" destId="{74BE20CD-971A-487C-A0D2-4B10CFB4EE29}" srcOrd="1" destOrd="0" presId="urn:microsoft.com/office/officeart/2005/8/layout/bProcess3"/>
    <dgm:cxn modelId="{6B49ABFB-84F3-429B-9FC4-0CA57314E624}" type="presOf" srcId="{91F9170C-A913-4156-86F7-3BCFC97C064B}" destId="{CFEDF260-5FB8-4640-9CC4-B44759D6AF24}" srcOrd="0" destOrd="0" presId="urn:microsoft.com/office/officeart/2005/8/layout/bProcess3"/>
    <dgm:cxn modelId="{8A747C4B-4732-41E4-8FAA-8DDD2FDD6264}" type="presParOf" srcId="{CFEDF260-5FB8-4640-9CC4-B44759D6AF24}" destId="{FF0365C9-FA51-446F-BEEE-1791BCBF822D}" srcOrd="0" destOrd="0" presId="urn:microsoft.com/office/officeart/2005/8/layout/bProcess3"/>
    <dgm:cxn modelId="{525D0E78-A842-4038-8BB5-C7053BA89E77}" type="presParOf" srcId="{CFEDF260-5FB8-4640-9CC4-B44759D6AF24}" destId="{99FA9021-1AAD-4C8D-9DEE-0F1CB95C09C9}" srcOrd="1" destOrd="0" presId="urn:microsoft.com/office/officeart/2005/8/layout/bProcess3"/>
    <dgm:cxn modelId="{732E001E-E4A3-4CA6-8AE4-0BDA373B8D32}" type="presParOf" srcId="{99FA9021-1AAD-4C8D-9DEE-0F1CB95C09C9}" destId="{CE8E7E60-9078-4743-AA41-E0689F842F96}" srcOrd="0" destOrd="0" presId="urn:microsoft.com/office/officeart/2005/8/layout/bProcess3"/>
    <dgm:cxn modelId="{EA0DAE86-65A4-401E-8ECA-F82CB21145D1}" type="presParOf" srcId="{CFEDF260-5FB8-4640-9CC4-B44759D6AF24}" destId="{D553399A-0286-4D56-A5AE-2ADEE3C33EBD}" srcOrd="2" destOrd="0" presId="urn:microsoft.com/office/officeart/2005/8/layout/bProcess3"/>
    <dgm:cxn modelId="{B266A9AC-D62E-4D99-AD86-FC3B1E740800}" type="presParOf" srcId="{CFEDF260-5FB8-4640-9CC4-B44759D6AF24}" destId="{74B68C91-D67A-4295-B822-E1C5324D48A3}" srcOrd="3" destOrd="0" presId="urn:microsoft.com/office/officeart/2005/8/layout/bProcess3"/>
    <dgm:cxn modelId="{ED6043FC-5274-459D-B720-8C9C28E9BC33}" type="presParOf" srcId="{74B68C91-D67A-4295-B822-E1C5324D48A3}" destId="{88992228-4493-441C-A8F9-D43FD63966C9}" srcOrd="0" destOrd="0" presId="urn:microsoft.com/office/officeart/2005/8/layout/bProcess3"/>
    <dgm:cxn modelId="{8D37B3DE-C2E3-425D-BFAC-EE19A79F2129}" type="presParOf" srcId="{CFEDF260-5FB8-4640-9CC4-B44759D6AF24}" destId="{9B0C8580-099D-4B98-970E-EF6548B18541}" srcOrd="4" destOrd="0" presId="urn:microsoft.com/office/officeart/2005/8/layout/bProcess3"/>
    <dgm:cxn modelId="{03B2C2FE-F8FE-4F54-8055-CF464CC67CFD}" type="presParOf" srcId="{CFEDF260-5FB8-4640-9CC4-B44759D6AF24}" destId="{464F768E-076C-49E7-88B0-D8254008C930}" srcOrd="5" destOrd="0" presId="urn:microsoft.com/office/officeart/2005/8/layout/bProcess3"/>
    <dgm:cxn modelId="{B2E0E9AB-A693-4AFD-8C0A-2ABD97B7ADA7}" type="presParOf" srcId="{464F768E-076C-49E7-88B0-D8254008C930}" destId="{74BE20CD-971A-487C-A0D2-4B10CFB4EE29}" srcOrd="0" destOrd="0" presId="urn:microsoft.com/office/officeart/2005/8/layout/bProcess3"/>
    <dgm:cxn modelId="{64EF3513-FEC6-4C2A-BDE4-A481BA6FC968}" type="presParOf" srcId="{CFEDF260-5FB8-4640-9CC4-B44759D6AF24}" destId="{9876749D-2E7F-47AD-A2FA-D6D952B7FE1A}" srcOrd="6" destOrd="0" presId="urn:microsoft.com/office/officeart/2005/8/layout/bProcess3"/>
    <dgm:cxn modelId="{16BC0904-26E4-459C-A27F-AF70913AA69B}" type="presParOf" srcId="{CFEDF260-5FB8-4640-9CC4-B44759D6AF24}" destId="{28BDB204-6F7C-4A85-94CD-C67DBCAB5D2F}" srcOrd="7" destOrd="0" presId="urn:microsoft.com/office/officeart/2005/8/layout/bProcess3"/>
    <dgm:cxn modelId="{7C84DF62-1829-4428-BBE5-B109BB63C850}" type="presParOf" srcId="{28BDB204-6F7C-4A85-94CD-C67DBCAB5D2F}" destId="{63B3B670-BBF4-489C-BD20-B6E9FC760BDF}" srcOrd="0" destOrd="0" presId="urn:microsoft.com/office/officeart/2005/8/layout/bProcess3"/>
    <dgm:cxn modelId="{768F6BD7-BB29-4718-8745-996FB59D5445}" type="presParOf" srcId="{CFEDF260-5FB8-4640-9CC4-B44759D6AF24}" destId="{79A6099A-41E0-457B-91B2-11A5A6CC1B3C}" srcOrd="8" destOrd="0" presId="urn:microsoft.com/office/officeart/2005/8/layout/bProcess3"/>
    <dgm:cxn modelId="{F1F80F77-0031-43F4-A374-1EBD0FBFA64A}" type="presParOf" srcId="{CFEDF260-5FB8-4640-9CC4-B44759D6AF24}" destId="{AB7D42CA-8485-441F-B68E-CFD05237E9AF}" srcOrd="9" destOrd="0" presId="urn:microsoft.com/office/officeart/2005/8/layout/bProcess3"/>
    <dgm:cxn modelId="{49919C23-AFF1-416A-A524-C036059EA5F5}" type="presParOf" srcId="{AB7D42CA-8485-441F-B68E-CFD05237E9AF}" destId="{E7DE93A0-ED27-4617-9DB0-75675A0C44F2}" srcOrd="0" destOrd="0" presId="urn:microsoft.com/office/officeart/2005/8/layout/bProcess3"/>
    <dgm:cxn modelId="{7A400B21-5658-4906-9E58-30B99061E98C}" type="presParOf" srcId="{CFEDF260-5FB8-4640-9CC4-B44759D6AF24}" destId="{2FB92436-A73B-45F8-B00E-CCC59AE8B21A}" srcOrd="10" destOrd="0" presId="urn:microsoft.com/office/officeart/2005/8/layout/bProcess3"/>
    <dgm:cxn modelId="{A9418686-66A8-49FA-A41B-7427EC3162F3}" type="presParOf" srcId="{CFEDF260-5FB8-4640-9CC4-B44759D6AF24}" destId="{56D71156-27D2-46DA-8264-113C54A57336}" srcOrd="11" destOrd="0" presId="urn:microsoft.com/office/officeart/2005/8/layout/bProcess3"/>
    <dgm:cxn modelId="{939780FD-3F6D-4876-A02F-327E09D24AC6}" type="presParOf" srcId="{56D71156-27D2-46DA-8264-113C54A57336}" destId="{5BB6253E-E1FD-4F01-9038-306626C58099}" srcOrd="0" destOrd="0" presId="urn:microsoft.com/office/officeart/2005/8/layout/bProcess3"/>
    <dgm:cxn modelId="{93602BCA-BC68-4C49-B18F-85B197D87832}" type="presParOf" srcId="{CFEDF260-5FB8-4640-9CC4-B44759D6AF24}" destId="{064040A3-F676-49ED-B369-3ABC80C4DCFD}" srcOrd="12" destOrd="0" presId="urn:microsoft.com/office/officeart/2005/8/layout/bProcess3"/>
    <dgm:cxn modelId="{7C99FACC-4C06-47BD-A58E-9B0CFD72FD82}" type="presParOf" srcId="{CFEDF260-5FB8-4640-9CC4-B44759D6AF24}" destId="{B14B31D7-C06F-4993-9733-4FF0F60ACABF}" srcOrd="13" destOrd="0" presId="urn:microsoft.com/office/officeart/2005/8/layout/bProcess3"/>
    <dgm:cxn modelId="{37F3AD12-395B-4052-ACB3-CBFB94286338}" type="presParOf" srcId="{B14B31D7-C06F-4993-9733-4FF0F60ACABF}" destId="{8857B6B9-0D1F-42F6-AA40-82AFF1FF3639}" srcOrd="0" destOrd="0" presId="urn:microsoft.com/office/officeart/2005/8/layout/bProcess3"/>
    <dgm:cxn modelId="{85249FFE-84FE-4BEB-A0B4-7FB0CDD71332}" type="presParOf" srcId="{CFEDF260-5FB8-4640-9CC4-B44759D6AF24}" destId="{1AA4714B-B82D-4EC9-9BE7-F1A57D28A6F1}" srcOrd="14" destOrd="0" presId="urn:microsoft.com/office/officeart/2005/8/layout/bProcess3"/>
    <dgm:cxn modelId="{92A079E5-E407-4FB4-B24F-D5E9A4712DDC}" type="presParOf" srcId="{CFEDF260-5FB8-4640-9CC4-B44759D6AF24}" destId="{DFC10AEB-759B-4B9D-B4F0-7DFB62DF9FE8}" srcOrd="15" destOrd="0" presId="urn:microsoft.com/office/officeart/2005/8/layout/bProcess3"/>
    <dgm:cxn modelId="{39B28D36-3DB1-437E-87CB-8FDE171A6A29}" type="presParOf" srcId="{DFC10AEB-759B-4B9D-B4F0-7DFB62DF9FE8}" destId="{1A352A84-E62E-4420-9024-3F1A1BB748CB}" srcOrd="0" destOrd="0" presId="urn:microsoft.com/office/officeart/2005/8/layout/bProcess3"/>
    <dgm:cxn modelId="{D9A50D1A-CED2-4CDC-BDE9-9EAD580BF129}" type="presParOf" srcId="{CFEDF260-5FB8-4640-9CC4-B44759D6AF24}" destId="{70025476-83FC-47C9-B9F2-AD2E6934E8C7}" srcOrd="16" destOrd="0" presId="urn:microsoft.com/office/officeart/2005/8/layout/bProcess3"/>
    <dgm:cxn modelId="{C597FFDC-8972-4E9F-A1CF-E1953D8D2925}" type="presParOf" srcId="{CFEDF260-5FB8-4640-9CC4-B44759D6AF24}" destId="{6BE6510C-8D16-4042-9D7A-F6743821B574}" srcOrd="17" destOrd="0" presId="urn:microsoft.com/office/officeart/2005/8/layout/bProcess3"/>
    <dgm:cxn modelId="{52ACF166-6FD1-43AE-85B8-E23E896DFAFD}" type="presParOf" srcId="{6BE6510C-8D16-4042-9D7A-F6743821B574}" destId="{5645C927-5A7D-4753-A169-F0102655658F}" srcOrd="0" destOrd="0" presId="urn:microsoft.com/office/officeart/2005/8/layout/bProcess3"/>
    <dgm:cxn modelId="{BF3746B0-F260-40BA-9DC7-E342AB84B723}" type="presParOf" srcId="{CFEDF260-5FB8-4640-9CC4-B44759D6AF24}" destId="{4757CFFD-4C1F-4398-A3EA-A9C1A2AFB8A5}" srcOrd="1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A9021-1AAD-4C8D-9DEE-0F1CB95C09C9}">
      <dsp:nvSpPr>
        <dsp:cNvPr id="0" name=""/>
        <dsp:cNvSpPr/>
      </dsp:nvSpPr>
      <dsp:spPr>
        <a:xfrm>
          <a:off x="1834447" y="424903"/>
          <a:ext cx="327176" cy="91440"/>
        </a:xfrm>
        <a:custGeom>
          <a:avLst/>
          <a:gdLst/>
          <a:ahLst/>
          <a:cxnLst/>
          <a:rect l="0" t="0" r="0" b="0"/>
          <a:pathLst>
            <a:path>
              <a:moveTo>
                <a:pt x="0" y="45720"/>
              </a:moveTo>
              <a:lnTo>
                <a:pt x="327176"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89091" y="468834"/>
        <a:ext cx="17888" cy="3577"/>
      </dsp:txXfrm>
    </dsp:sp>
    <dsp:sp modelId="{FF0365C9-FA51-446F-BEEE-1791BCBF822D}">
      <dsp:nvSpPr>
        <dsp:cNvPr id="0" name=""/>
        <dsp:cNvSpPr/>
      </dsp:nvSpPr>
      <dsp:spPr>
        <a:xfrm>
          <a:off x="280695" y="3957"/>
          <a:ext cx="1555551" cy="933330"/>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1865</a:t>
          </a:r>
        </a:p>
        <a:p>
          <a:pPr marL="0" lvl="0" indent="0" algn="ctr" defTabSz="533400">
            <a:lnSpc>
              <a:spcPct val="90000"/>
            </a:lnSpc>
            <a:spcBef>
              <a:spcPct val="0"/>
            </a:spcBef>
            <a:spcAft>
              <a:spcPct val="35000"/>
            </a:spcAft>
            <a:buNone/>
          </a:pPr>
          <a:r>
            <a:rPr lang="en-US" sz="1200" kern="1200"/>
            <a:t>Land Reversals (1865) and Land Seizures (1865-Present Day)</a:t>
          </a:r>
        </a:p>
      </dsp:txBody>
      <dsp:txXfrm>
        <a:off x="280695" y="3957"/>
        <a:ext cx="1555551" cy="933330"/>
      </dsp:txXfrm>
    </dsp:sp>
    <dsp:sp modelId="{74B68C91-D67A-4295-B822-E1C5324D48A3}">
      <dsp:nvSpPr>
        <dsp:cNvPr id="0" name=""/>
        <dsp:cNvSpPr/>
      </dsp:nvSpPr>
      <dsp:spPr>
        <a:xfrm>
          <a:off x="3747775" y="424903"/>
          <a:ext cx="327176" cy="91440"/>
        </a:xfrm>
        <a:custGeom>
          <a:avLst/>
          <a:gdLst/>
          <a:ahLst/>
          <a:cxnLst/>
          <a:rect l="0" t="0" r="0" b="0"/>
          <a:pathLst>
            <a:path>
              <a:moveTo>
                <a:pt x="0" y="45720"/>
              </a:moveTo>
              <a:lnTo>
                <a:pt x="327176" y="45720"/>
              </a:lnTo>
            </a:path>
          </a:pathLst>
        </a:custGeom>
        <a:noFill/>
        <a:ln w="6350" cap="flat" cmpd="sng" algn="ctr">
          <a:solidFill>
            <a:schemeClr val="accent3">
              <a:hueOff val="338825"/>
              <a:satOff val="12500"/>
              <a:lumOff val="-18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02419" y="468834"/>
        <a:ext cx="17888" cy="3577"/>
      </dsp:txXfrm>
    </dsp:sp>
    <dsp:sp modelId="{D553399A-0286-4D56-A5AE-2ADEE3C33EBD}">
      <dsp:nvSpPr>
        <dsp:cNvPr id="0" name=""/>
        <dsp:cNvSpPr/>
      </dsp:nvSpPr>
      <dsp:spPr>
        <a:xfrm>
          <a:off x="2194024" y="3957"/>
          <a:ext cx="1555551" cy="933330"/>
        </a:xfrm>
        <a:prstGeom prst="rect">
          <a:avLst/>
        </a:prstGeom>
        <a:solidFill>
          <a:schemeClr val="accent3">
            <a:hueOff val="301178"/>
            <a:satOff val="11111"/>
            <a:lumOff val="-1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1933</a:t>
          </a:r>
        </a:p>
        <a:p>
          <a:pPr marL="0" lvl="0" indent="0" algn="ctr" defTabSz="533400">
            <a:lnSpc>
              <a:spcPct val="90000"/>
            </a:lnSpc>
            <a:spcBef>
              <a:spcPct val="0"/>
            </a:spcBef>
            <a:spcAft>
              <a:spcPct val="35000"/>
            </a:spcAft>
            <a:buNone/>
          </a:pPr>
          <a:r>
            <a:rPr lang="en-US" sz="1200" kern="1200"/>
            <a:t>Public Works Administration</a:t>
          </a:r>
        </a:p>
      </dsp:txBody>
      <dsp:txXfrm>
        <a:off x="2194024" y="3957"/>
        <a:ext cx="1555551" cy="933330"/>
      </dsp:txXfrm>
    </dsp:sp>
    <dsp:sp modelId="{464F768E-076C-49E7-88B0-D8254008C930}">
      <dsp:nvSpPr>
        <dsp:cNvPr id="0" name=""/>
        <dsp:cNvSpPr/>
      </dsp:nvSpPr>
      <dsp:spPr>
        <a:xfrm>
          <a:off x="1058471" y="935488"/>
          <a:ext cx="3826656" cy="327176"/>
        </a:xfrm>
        <a:custGeom>
          <a:avLst/>
          <a:gdLst/>
          <a:ahLst/>
          <a:cxnLst/>
          <a:rect l="0" t="0" r="0" b="0"/>
          <a:pathLst>
            <a:path>
              <a:moveTo>
                <a:pt x="3826656" y="0"/>
              </a:moveTo>
              <a:lnTo>
                <a:pt x="3826656" y="180688"/>
              </a:lnTo>
              <a:lnTo>
                <a:pt x="0" y="180688"/>
              </a:lnTo>
              <a:lnTo>
                <a:pt x="0" y="327176"/>
              </a:lnTo>
            </a:path>
          </a:pathLst>
        </a:custGeom>
        <a:noFill/>
        <a:ln w="6350" cap="flat" cmpd="sng" algn="ctr">
          <a:solidFill>
            <a:schemeClr val="accent3">
              <a:hueOff val="677650"/>
              <a:satOff val="25000"/>
              <a:lumOff val="-367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75716" y="1097288"/>
        <a:ext cx="192167" cy="3577"/>
      </dsp:txXfrm>
    </dsp:sp>
    <dsp:sp modelId="{9B0C8580-099D-4B98-970E-EF6548B18541}">
      <dsp:nvSpPr>
        <dsp:cNvPr id="0" name=""/>
        <dsp:cNvSpPr/>
      </dsp:nvSpPr>
      <dsp:spPr>
        <a:xfrm>
          <a:off x="4107352" y="3957"/>
          <a:ext cx="1555551" cy="933330"/>
        </a:xfrm>
        <a:prstGeom prst="rect">
          <a:avLst/>
        </a:prstGeom>
        <a:solidFill>
          <a:schemeClr val="accent3">
            <a:hueOff val="602355"/>
            <a:satOff val="22222"/>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1934</a:t>
          </a:r>
        </a:p>
        <a:p>
          <a:pPr marL="0" lvl="0" indent="0" algn="ctr" defTabSz="533400">
            <a:lnSpc>
              <a:spcPct val="90000"/>
            </a:lnSpc>
            <a:spcBef>
              <a:spcPct val="0"/>
            </a:spcBef>
            <a:spcAft>
              <a:spcPct val="35000"/>
            </a:spcAft>
            <a:buNone/>
          </a:pPr>
          <a:r>
            <a:rPr lang="en-US" sz="1200" kern="1200"/>
            <a:t>National Housing Act</a:t>
          </a:r>
        </a:p>
      </dsp:txBody>
      <dsp:txXfrm>
        <a:off x="4107352" y="3957"/>
        <a:ext cx="1555551" cy="933330"/>
      </dsp:txXfrm>
    </dsp:sp>
    <dsp:sp modelId="{28BDB204-6F7C-4A85-94CD-C67DBCAB5D2F}">
      <dsp:nvSpPr>
        <dsp:cNvPr id="0" name=""/>
        <dsp:cNvSpPr/>
      </dsp:nvSpPr>
      <dsp:spPr>
        <a:xfrm>
          <a:off x="1834447" y="1716011"/>
          <a:ext cx="327176" cy="91440"/>
        </a:xfrm>
        <a:custGeom>
          <a:avLst/>
          <a:gdLst/>
          <a:ahLst/>
          <a:cxnLst/>
          <a:rect l="0" t="0" r="0" b="0"/>
          <a:pathLst>
            <a:path>
              <a:moveTo>
                <a:pt x="0" y="45720"/>
              </a:moveTo>
              <a:lnTo>
                <a:pt x="327176" y="45720"/>
              </a:lnTo>
            </a:path>
          </a:pathLst>
        </a:custGeom>
        <a:noFill/>
        <a:ln w="6350" cap="flat" cmpd="sng" algn="ctr">
          <a:solidFill>
            <a:schemeClr val="accent3">
              <a:hueOff val="1016475"/>
              <a:satOff val="37500"/>
              <a:lumOff val="-551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89091" y="1759942"/>
        <a:ext cx="17888" cy="3577"/>
      </dsp:txXfrm>
    </dsp:sp>
    <dsp:sp modelId="{9876749D-2E7F-47AD-A2FA-D6D952B7FE1A}">
      <dsp:nvSpPr>
        <dsp:cNvPr id="0" name=""/>
        <dsp:cNvSpPr/>
      </dsp:nvSpPr>
      <dsp:spPr>
        <a:xfrm>
          <a:off x="280695" y="1295065"/>
          <a:ext cx="1555551" cy="933330"/>
        </a:xfrm>
        <a:prstGeom prst="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1934</a:t>
          </a:r>
        </a:p>
        <a:p>
          <a:pPr marL="0" lvl="0" indent="0" algn="ctr" defTabSz="533400">
            <a:lnSpc>
              <a:spcPct val="90000"/>
            </a:lnSpc>
            <a:spcBef>
              <a:spcPct val="0"/>
            </a:spcBef>
            <a:spcAft>
              <a:spcPct val="35000"/>
            </a:spcAft>
            <a:buNone/>
          </a:pPr>
          <a:r>
            <a:rPr lang="en-US" sz="1200" kern="1200"/>
            <a:t>Federal Housing Administration</a:t>
          </a:r>
        </a:p>
      </dsp:txBody>
      <dsp:txXfrm>
        <a:off x="280695" y="1295065"/>
        <a:ext cx="1555551" cy="933330"/>
      </dsp:txXfrm>
    </dsp:sp>
    <dsp:sp modelId="{AB7D42CA-8485-441F-B68E-CFD05237E9AF}">
      <dsp:nvSpPr>
        <dsp:cNvPr id="0" name=""/>
        <dsp:cNvSpPr/>
      </dsp:nvSpPr>
      <dsp:spPr>
        <a:xfrm>
          <a:off x="3747775" y="1716011"/>
          <a:ext cx="327176" cy="91440"/>
        </a:xfrm>
        <a:custGeom>
          <a:avLst/>
          <a:gdLst/>
          <a:ahLst/>
          <a:cxnLst/>
          <a:rect l="0" t="0" r="0" b="0"/>
          <a:pathLst>
            <a:path>
              <a:moveTo>
                <a:pt x="0" y="45720"/>
              </a:moveTo>
              <a:lnTo>
                <a:pt x="327176" y="45720"/>
              </a:lnTo>
            </a:path>
          </a:pathLst>
        </a:custGeom>
        <a:noFill/>
        <a:ln w="6350" cap="flat" cmpd="sng" algn="ctr">
          <a:solidFill>
            <a:schemeClr val="accent3">
              <a:hueOff val="1355300"/>
              <a:satOff val="50000"/>
              <a:lumOff val="-7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02419" y="1759942"/>
        <a:ext cx="17888" cy="3577"/>
      </dsp:txXfrm>
    </dsp:sp>
    <dsp:sp modelId="{79A6099A-41E0-457B-91B2-11A5A6CC1B3C}">
      <dsp:nvSpPr>
        <dsp:cNvPr id="0" name=""/>
        <dsp:cNvSpPr/>
      </dsp:nvSpPr>
      <dsp:spPr>
        <a:xfrm>
          <a:off x="2194024" y="1295065"/>
          <a:ext cx="1555551" cy="933330"/>
        </a:xfrm>
        <a:prstGeom prst="rect">
          <a:avLst/>
        </a:prstGeom>
        <a:solidFill>
          <a:schemeClr val="accent3">
            <a:hueOff val="1204711"/>
            <a:satOff val="44444"/>
            <a:lumOff val="-6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1935</a:t>
          </a:r>
        </a:p>
        <a:p>
          <a:pPr marL="0" lvl="0" indent="0" algn="ctr" defTabSz="533400">
            <a:lnSpc>
              <a:spcPct val="90000"/>
            </a:lnSpc>
            <a:spcBef>
              <a:spcPct val="0"/>
            </a:spcBef>
            <a:spcAft>
              <a:spcPct val="35000"/>
            </a:spcAft>
            <a:buNone/>
          </a:pPr>
          <a:r>
            <a:rPr lang="en-US" sz="1200" kern="1200"/>
            <a:t>Social Security Act</a:t>
          </a:r>
        </a:p>
      </dsp:txBody>
      <dsp:txXfrm>
        <a:off x="2194024" y="1295065"/>
        <a:ext cx="1555551" cy="933330"/>
      </dsp:txXfrm>
    </dsp:sp>
    <dsp:sp modelId="{56D71156-27D2-46DA-8264-113C54A57336}">
      <dsp:nvSpPr>
        <dsp:cNvPr id="0" name=""/>
        <dsp:cNvSpPr/>
      </dsp:nvSpPr>
      <dsp:spPr>
        <a:xfrm>
          <a:off x="1058471" y="2226596"/>
          <a:ext cx="3826656" cy="327176"/>
        </a:xfrm>
        <a:custGeom>
          <a:avLst/>
          <a:gdLst/>
          <a:ahLst/>
          <a:cxnLst/>
          <a:rect l="0" t="0" r="0" b="0"/>
          <a:pathLst>
            <a:path>
              <a:moveTo>
                <a:pt x="3826656" y="0"/>
              </a:moveTo>
              <a:lnTo>
                <a:pt x="3826656" y="180688"/>
              </a:lnTo>
              <a:lnTo>
                <a:pt x="0" y="180688"/>
              </a:lnTo>
              <a:lnTo>
                <a:pt x="0" y="327176"/>
              </a:lnTo>
            </a:path>
          </a:pathLst>
        </a:custGeom>
        <a:noFill/>
        <a:ln w="6350" cap="flat" cmpd="sng" algn="ctr">
          <a:solidFill>
            <a:schemeClr val="accent3">
              <a:hueOff val="1694124"/>
              <a:satOff val="62500"/>
              <a:lumOff val="-919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75716" y="2388396"/>
        <a:ext cx="192167" cy="3577"/>
      </dsp:txXfrm>
    </dsp:sp>
    <dsp:sp modelId="{2FB92436-A73B-45F8-B00E-CCC59AE8B21A}">
      <dsp:nvSpPr>
        <dsp:cNvPr id="0" name=""/>
        <dsp:cNvSpPr/>
      </dsp:nvSpPr>
      <dsp:spPr>
        <a:xfrm>
          <a:off x="4107352" y="1295065"/>
          <a:ext cx="1555551" cy="933330"/>
        </a:xfrm>
        <a:prstGeom prst="rect">
          <a:avLst/>
        </a:prstGeom>
        <a:solidFill>
          <a:schemeClr val="accent3">
            <a:hueOff val="1505888"/>
            <a:satOff val="55556"/>
            <a:lumOff val="-81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1938</a:t>
          </a:r>
        </a:p>
        <a:p>
          <a:pPr marL="0" lvl="0" indent="0" algn="ctr" defTabSz="533400">
            <a:lnSpc>
              <a:spcPct val="90000"/>
            </a:lnSpc>
            <a:spcBef>
              <a:spcPct val="0"/>
            </a:spcBef>
            <a:spcAft>
              <a:spcPct val="35000"/>
            </a:spcAft>
            <a:buNone/>
          </a:pPr>
          <a:r>
            <a:rPr lang="en-US" sz="1200" kern="1200"/>
            <a:t>Fair Labor Standards Act</a:t>
          </a:r>
        </a:p>
      </dsp:txBody>
      <dsp:txXfrm>
        <a:off x="4107352" y="1295065"/>
        <a:ext cx="1555551" cy="933330"/>
      </dsp:txXfrm>
    </dsp:sp>
    <dsp:sp modelId="{B14B31D7-C06F-4993-9733-4FF0F60ACABF}">
      <dsp:nvSpPr>
        <dsp:cNvPr id="0" name=""/>
        <dsp:cNvSpPr/>
      </dsp:nvSpPr>
      <dsp:spPr>
        <a:xfrm>
          <a:off x="1834447" y="3007118"/>
          <a:ext cx="327176" cy="91440"/>
        </a:xfrm>
        <a:custGeom>
          <a:avLst/>
          <a:gdLst/>
          <a:ahLst/>
          <a:cxnLst/>
          <a:rect l="0" t="0" r="0" b="0"/>
          <a:pathLst>
            <a:path>
              <a:moveTo>
                <a:pt x="0" y="45720"/>
              </a:moveTo>
              <a:lnTo>
                <a:pt x="327176" y="45720"/>
              </a:lnTo>
            </a:path>
          </a:pathLst>
        </a:custGeom>
        <a:noFill/>
        <a:ln w="6350" cap="flat" cmpd="sng" algn="ctr">
          <a:solidFill>
            <a:schemeClr val="accent3">
              <a:hueOff val="2032949"/>
              <a:satOff val="75000"/>
              <a:lumOff val="-1102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89091" y="3051050"/>
        <a:ext cx="17888" cy="3577"/>
      </dsp:txXfrm>
    </dsp:sp>
    <dsp:sp modelId="{064040A3-F676-49ED-B369-3ABC80C4DCFD}">
      <dsp:nvSpPr>
        <dsp:cNvPr id="0" name=""/>
        <dsp:cNvSpPr/>
      </dsp:nvSpPr>
      <dsp:spPr>
        <a:xfrm>
          <a:off x="280695" y="2586173"/>
          <a:ext cx="1555551" cy="933330"/>
        </a:xfrm>
        <a:prstGeom prst="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1944</a:t>
          </a:r>
        </a:p>
        <a:p>
          <a:pPr marL="0" lvl="0" indent="0" algn="ctr" defTabSz="533400">
            <a:lnSpc>
              <a:spcPct val="90000"/>
            </a:lnSpc>
            <a:spcBef>
              <a:spcPct val="0"/>
            </a:spcBef>
            <a:spcAft>
              <a:spcPct val="35000"/>
            </a:spcAft>
            <a:buNone/>
          </a:pPr>
          <a:r>
            <a:rPr lang="en-US" sz="1200" kern="1200"/>
            <a:t>G.I. Bill</a:t>
          </a:r>
        </a:p>
      </dsp:txBody>
      <dsp:txXfrm>
        <a:off x="280695" y="2586173"/>
        <a:ext cx="1555551" cy="933330"/>
      </dsp:txXfrm>
    </dsp:sp>
    <dsp:sp modelId="{DFC10AEB-759B-4B9D-B4F0-7DFB62DF9FE8}">
      <dsp:nvSpPr>
        <dsp:cNvPr id="0" name=""/>
        <dsp:cNvSpPr/>
      </dsp:nvSpPr>
      <dsp:spPr>
        <a:xfrm>
          <a:off x="3747775" y="3007118"/>
          <a:ext cx="327176" cy="91440"/>
        </a:xfrm>
        <a:custGeom>
          <a:avLst/>
          <a:gdLst/>
          <a:ahLst/>
          <a:cxnLst/>
          <a:rect l="0" t="0" r="0" b="0"/>
          <a:pathLst>
            <a:path>
              <a:moveTo>
                <a:pt x="0" y="45720"/>
              </a:moveTo>
              <a:lnTo>
                <a:pt x="327176" y="45720"/>
              </a:lnTo>
            </a:path>
          </a:pathLst>
        </a:custGeom>
        <a:noFill/>
        <a:ln w="6350" cap="flat" cmpd="sng" algn="ctr">
          <a:solidFill>
            <a:schemeClr val="accent3">
              <a:hueOff val="2371774"/>
              <a:satOff val="87500"/>
              <a:lumOff val="-1286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02419" y="3051050"/>
        <a:ext cx="17888" cy="3577"/>
      </dsp:txXfrm>
    </dsp:sp>
    <dsp:sp modelId="{1AA4714B-B82D-4EC9-9BE7-F1A57D28A6F1}">
      <dsp:nvSpPr>
        <dsp:cNvPr id="0" name=""/>
        <dsp:cNvSpPr/>
      </dsp:nvSpPr>
      <dsp:spPr>
        <a:xfrm>
          <a:off x="2194024" y="2586173"/>
          <a:ext cx="1555551" cy="933330"/>
        </a:xfrm>
        <a:prstGeom prst="rect">
          <a:avLst/>
        </a:prstGeom>
        <a:solidFill>
          <a:schemeClr val="accent3">
            <a:hueOff val="2108244"/>
            <a:satOff val="77778"/>
            <a:lumOff val="-114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1955</a:t>
          </a:r>
        </a:p>
        <a:p>
          <a:pPr marL="0" lvl="0" indent="0" algn="ctr" defTabSz="533400">
            <a:lnSpc>
              <a:spcPct val="90000"/>
            </a:lnSpc>
            <a:spcBef>
              <a:spcPct val="0"/>
            </a:spcBef>
            <a:spcAft>
              <a:spcPct val="35000"/>
            </a:spcAft>
            <a:buNone/>
          </a:pPr>
          <a:r>
            <a:rPr lang="en-US" sz="1200" kern="1200"/>
            <a:t>Urban Renewal Projects</a:t>
          </a:r>
        </a:p>
      </dsp:txBody>
      <dsp:txXfrm>
        <a:off x="2194024" y="2586173"/>
        <a:ext cx="1555551" cy="933330"/>
      </dsp:txXfrm>
    </dsp:sp>
    <dsp:sp modelId="{6BE6510C-8D16-4042-9D7A-F6743821B574}">
      <dsp:nvSpPr>
        <dsp:cNvPr id="0" name=""/>
        <dsp:cNvSpPr/>
      </dsp:nvSpPr>
      <dsp:spPr>
        <a:xfrm>
          <a:off x="1058471" y="3517704"/>
          <a:ext cx="3826656" cy="327176"/>
        </a:xfrm>
        <a:custGeom>
          <a:avLst/>
          <a:gdLst/>
          <a:ahLst/>
          <a:cxnLst/>
          <a:rect l="0" t="0" r="0" b="0"/>
          <a:pathLst>
            <a:path>
              <a:moveTo>
                <a:pt x="3826656" y="0"/>
              </a:moveTo>
              <a:lnTo>
                <a:pt x="3826656" y="180688"/>
              </a:lnTo>
              <a:lnTo>
                <a:pt x="0" y="180688"/>
              </a:lnTo>
              <a:lnTo>
                <a:pt x="0" y="327176"/>
              </a:lnTo>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75716" y="3679503"/>
        <a:ext cx="192167" cy="3577"/>
      </dsp:txXfrm>
    </dsp:sp>
    <dsp:sp modelId="{70025476-83FC-47C9-B9F2-AD2E6934E8C7}">
      <dsp:nvSpPr>
        <dsp:cNvPr id="0" name=""/>
        <dsp:cNvSpPr/>
      </dsp:nvSpPr>
      <dsp:spPr>
        <a:xfrm>
          <a:off x="4107352" y="2586173"/>
          <a:ext cx="1555551" cy="933330"/>
        </a:xfrm>
        <a:prstGeom prst="rect">
          <a:avLst/>
        </a:prstGeom>
        <a:solidFill>
          <a:schemeClr val="accent3">
            <a:hueOff val="2409421"/>
            <a:satOff val="88889"/>
            <a:lumOff val="-130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1970s-Present</a:t>
          </a:r>
        </a:p>
        <a:p>
          <a:pPr marL="0" lvl="0" indent="0" algn="ctr" defTabSz="533400">
            <a:lnSpc>
              <a:spcPct val="90000"/>
            </a:lnSpc>
            <a:spcBef>
              <a:spcPct val="0"/>
            </a:spcBef>
            <a:spcAft>
              <a:spcPct val="35000"/>
            </a:spcAft>
            <a:buNone/>
          </a:pPr>
          <a:r>
            <a:rPr lang="en-US" sz="1200" kern="1200"/>
            <a:t>Subprime Loans (1970s-Present Day)</a:t>
          </a:r>
        </a:p>
      </dsp:txBody>
      <dsp:txXfrm>
        <a:off x="4107352" y="2586173"/>
        <a:ext cx="1555551" cy="933330"/>
      </dsp:txXfrm>
    </dsp:sp>
    <dsp:sp modelId="{4757CFFD-4C1F-4398-A3EA-A9C1A2AFB8A5}">
      <dsp:nvSpPr>
        <dsp:cNvPr id="0" name=""/>
        <dsp:cNvSpPr/>
      </dsp:nvSpPr>
      <dsp:spPr>
        <a:xfrm>
          <a:off x="280695" y="3877281"/>
          <a:ext cx="1555551" cy="933330"/>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1971-Present</a:t>
          </a:r>
        </a:p>
        <a:p>
          <a:pPr marL="0" lvl="0" indent="0" algn="ctr" defTabSz="533400">
            <a:lnSpc>
              <a:spcPct val="90000"/>
            </a:lnSpc>
            <a:spcBef>
              <a:spcPct val="0"/>
            </a:spcBef>
            <a:spcAft>
              <a:spcPct val="35000"/>
            </a:spcAft>
            <a:buNone/>
          </a:pPr>
          <a:r>
            <a:rPr lang="en-US" sz="1200" kern="1200"/>
            <a:t>"War on Drugs" (1971-Present Day)</a:t>
          </a:r>
        </a:p>
      </dsp:txBody>
      <dsp:txXfrm>
        <a:off x="280695" y="3877281"/>
        <a:ext cx="1555551" cy="93333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0AB9154C171E409E0131327301D05C" ma:contentTypeVersion="8" ma:contentTypeDescription="Create a new document." ma:contentTypeScope="" ma:versionID="05d547b59f935ec22f1536198753573f">
  <xsd:schema xmlns:xsd="http://www.w3.org/2001/XMLSchema" xmlns:xs="http://www.w3.org/2001/XMLSchema" xmlns:p="http://schemas.microsoft.com/office/2006/metadata/properties" xmlns:ns2="876372d7-2542-4065-ad3b-22612840f7b4" xmlns:ns3="552b8659-eb92-470e-b40f-1c994b2ac523" targetNamespace="http://schemas.microsoft.com/office/2006/metadata/properties" ma:root="true" ma:fieldsID="f81d74a3850608dc93c6ee2372b5bccc" ns2:_="" ns3:_="">
    <xsd:import namespace="876372d7-2542-4065-ad3b-22612840f7b4"/>
    <xsd:import namespace="552b8659-eb92-470e-b40f-1c994b2ac5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372d7-2542-4065-ad3b-22612840f7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2b8659-eb92-470e-b40f-1c994b2ac52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6372d7-2542-4065-ad3b-22612840f7b4">
      <UserInfo>
        <DisplayName>Meredith Dodson</DisplayName>
        <AccountId>64</AccountId>
        <AccountType/>
      </UserInfo>
      <UserInfo>
        <DisplayName>Funke Aderonmu</DisplayName>
        <AccountId>795</AccountId>
        <AccountType/>
      </UserInfo>
      <UserInfo>
        <DisplayName>Lakshmi Premysler</DisplayName>
        <AccountId>1151</AccountId>
        <AccountType/>
      </UserInfo>
      <UserInfo>
        <DisplayName>Estefany Sanabria</DisplayName>
        <AccountId>1009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92219-2FB3-4251-91D6-8A5EE4234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372d7-2542-4065-ad3b-22612840f7b4"/>
    <ds:schemaRef ds:uri="552b8659-eb92-470e-b40f-1c994b2ac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E70AE-EB0B-4F68-A638-5A1C5EBFFE4A}">
  <ds:schemaRefs>
    <ds:schemaRef ds:uri="http://schemas.microsoft.com/sharepoint/v3/contenttype/forms"/>
  </ds:schemaRefs>
</ds:datastoreItem>
</file>

<file path=customXml/itemProps3.xml><?xml version="1.0" encoding="utf-8"?>
<ds:datastoreItem xmlns:ds="http://schemas.openxmlformats.org/officeDocument/2006/customXml" ds:itemID="{6DD11E26-6DD7-4366-8A62-4AC4DDB59CEA}">
  <ds:schemaRefs>
    <ds:schemaRef ds:uri="http://schemas.microsoft.com/office/2006/metadata/properties"/>
    <ds:schemaRef ds:uri="http://schemas.microsoft.com/office/infopath/2007/PartnerControls"/>
    <ds:schemaRef ds:uri="876372d7-2542-4065-ad3b-22612840f7b4"/>
  </ds:schemaRefs>
</ds:datastoreItem>
</file>

<file path=customXml/itemProps4.xml><?xml version="1.0" encoding="utf-8"?>
<ds:datastoreItem xmlns:ds="http://schemas.openxmlformats.org/officeDocument/2006/customXml" ds:itemID="{6820AE99-CE16-4C0B-AD6D-B4B00EB0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5929</Words>
  <Characters>33799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Funke Aderonmu</dc:creator>
  <cp:keywords/>
  <dc:description/>
  <cp:lastModifiedBy>Funke Aderonmu</cp:lastModifiedBy>
  <cp:revision>2</cp:revision>
  <dcterms:created xsi:type="dcterms:W3CDTF">2018-07-26T14:59:00Z</dcterms:created>
  <dcterms:modified xsi:type="dcterms:W3CDTF">2018-07-26T14:59:00Z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0x0101003D0AB9154C171E409E0131327301D05C</vt:lpwstr>
  </property>
  <property fmtid="{D5CDD505-2E9C-101B-9397-08002B2CF9AE}" pid="3" name="ComplianceAssetId">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