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2DE4" w14:textId="02A4A528" w:rsidR="00826CB8" w:rsidRPr="00FA6FAE" w:rsidRDefault="00FA6FAE" w:rsidP="0063161A">
      <w:pPr>
        <w:spacing w:before="240" w:after="120" w:line="276" w:lineRule="auto"/>
        <w:rPr>
          <w:rFonts w:ascii="Helvetica" w:hAnsi="Helvetica"/>
          <w:bCs/>
          <w:color w:val="AF1F2C"/>
          <w:sz w:val="46"/>
          <w:szCs w:val="46"/>
        </w:rPr>
      </w:pPr>
      <w:r w:rsidRPr="00FA6FAE">
        <w:rPr>
          <w:rFonts w:ascii="Helvetica" w:hAnsi="Helvetica"/>
          <w:bCs/>
          <w:color w:val="AF1F2C"/>
          <w:sz w:val="46"/>
          <w:szCs w:val="46"/>
        </w:rPr>
        <w:t>Wealth Inequality and the Racial Wealth Gap</w:t>
      </w:r>
    </w:p>
    <w:p w14:paraId="356B4593" w14:textId="37A9AA1A" w:rsidR="00867009" w:rsidRDefault="00867009" w:rsidP="00407730">
      <w:pPr>
        <w:spacing w:after="120" w:line="276" w:lineRule="auto"/>
        <w:rPr>
          <w:rFonts w:ascii="Helvetica" w:hAnsi="Helvetica"/>
          <w:bCs/>
          <w:sz w:val="22"/>
          <w:szCs w:val="22"/>
        </w:rPr>
      </w:pPr>
      <w:commentRangeStart w:id="0"/>
      <w:r>
        <w:rPr>
          <w:noProof/>
        </w:rPr>
        <w:drawing>
          <wp:anchor distT="0" distB="0" distL="114300" distR="114300" simplePos="0" relativeHeight="251659264" behindDoc="0" locked="0" layoutInCell="1" allowOverlap="1" wp14:anchorId="4282E3FF" wp14:editId="09539B6F">
            <wp:simplePos x="0" y="0"/>
            <wp:positionH relativeFrom="column">
              <wp:posOffset>619125</wp:posOffset>
            </wp:positionH>
            <wp:positionV relativeFrom="paragraph">
              <wp:posOffset>1095375</wp:posOffset>
            </wp:positionV>
            <wp:extent cx="4705350" cy="2559685"/>
            <wp:effectExtent l="19050" t="19050" r="19050" b="12065"/>
            <wp:wrapTopAndBottom/>
            <wp:docPr id="307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2559685"/>
                    </a:xfrm>
                    <a:prstGeom prst="rect">
                      <a:avLst/>
                    </a:prstGeom>
                    <a:noFill/>
                    <a:ln w="9525">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commentRangeEnd w:id="0"/>
      <w:r w:rsidR="00353AEF">
        <w:rPr>
          <w:rFonts w:ascii="Helvetica" w:hAnsi="Helvetica"/>
          <w:bCs/>
          <w:sz w:val="22"/>
          <w:szCs w:val="22"/>
        </w:rPr>
        <w:t>As the income inequality debate has gained traction over the last few years, the conversation has often ignored wealth inequality and the racial wealth gap. In 2013, the top one percent owned 40 percent of the nation’s wealth and the bottom 40 percent owned almost nothing.</w:t>
      </w:r>
      <w:r w:rsidR="00353AEF">
        <w:rPr>
          <w:rStyle w:val="FootnoteReference"/>
          <w:rFonts w:ascii="Helvetica" w:hAnsi="Helvetica"/>
          <w:bCs/>
          <w:sz w:val="22"/>
          <w:szCs w:val="22"/>
        </w:rPr>
        <w:footnoteReference w:id="1"/>
      </w:r>
      <w:r w:rsidR="00353AEF">
        <w:rPr>
          <w:rFonts w:ascii="Helvetica" w:hAnsi="Helvetica"/>
          <w:bCs/>
          <w:sz w:val="22"/>
          <w:szCs w:val="22"/>
        </w:rPr>
        <w:t xml:space="preserve"> In 1963, the families in the highest income brackets had six times the wealth of families in the middle; in 2013, they had twelve times the wealth.</w:t>
      </w:r>
      <w:r w:rsidR="00353AEF">
        <w:rPr>
          <w:rStyle w:val="FootnoteReference"/>
          <w:rFonts w:ascii="Helvetica" w:hAnsi="Helvetica"/>
          <w:bCs/>
          <w:sz w:val="22"/>
          <w:szCs w:val="22"/>
        </w:rPr>
        <w:footnoteReference w:id="2"/>
      </w:r>
    </w:p>
    <w:p w14:paraId="677EB236" w14:textId="77777777" w:rsidR="00407730" w:rsidRPr="00407730" w:rsidRDefault="00407730" w:rsidP="00407730">
      <w:pPr>
        <w:spacing w:after="120" w:line="276" w:lineRule="auto"/>
        <w:rPr>
          <w:rFonts w:ascii="Helvetica" w:hAnsi="Helvetica"/>
          <w:bCs/>
          <w:sz w:val="12"/>
          <w:szCs w:val="12"/>
        </w:rPr>
      </w:pPr>
    </w:p>
    <w:p w14:paraId="36688DF9" w14:textId="386BD849" w:rsidR="00353AEF" w:rsidRDefault="00353AEF" w:rsidP="00826CB8">
      <w:pPr>
        <w:spacing w:after="200" w:line="276" w:lineRule="auto"/>
        <w:rPr>
          <w:rFonts w:ascii="Helvetica" w:hAnsi="Helvetica"/>
          <w:bCs/>
          <w:sz w:val="22"/>
          <w:szCs w:val="22"/>
        </w:rPr>
      </w:pPr>
      <w:r>
        <w:rPr>
          <w:rFonts w:ascii="Helvetica" w:hAnsi="Helvetica"/>
          <w:bCs/>
          <w:sz w:val="22"/>
          <w:szCs w:val="22"/>
        </w:rPr>
        <w:t>Within wealth inequality, the racial wealth gap is incredibly prominent. The racial wealth disparity is so striking that:</w:t>
      </w:r>
    </w:p>
    <w:p w14:paraId="7C2F2A04" w14:textId="1E332479" w:rsidR="00353AEF" w:rsidRDefault="00353AEF" w:rsidP="00353AEF">
      <w:pPr>
        <w:pStyle w:val="ListParagraph"/>
        <w:numPr>
          <w:ilvl w:val="0"/>
          <w:numId w:val="3"/>
        </w:numPr>
        <w:spacing w:after="200" w:line="276" w:lineRule="auto"/>
        <w:rPr>
          <w:rFonts w:ascii="Helvetica" w:hAnsi="Helvetica"/>
          <w:bCs/>
          <w:sz w:val="22"/>
          <w:szCs w:val="22"/>
        </w:rPr>
      </w:pPr>
      <w:r>
        <w:rPr>
          <w:rFonts w:ascii="Helvetica" w:hAnsi="Helvetica"/>
          <w:bCs/>
          <w:sz w:val="22"/>
          <w:szCs w:val="22"/>
        </w:rPr>
        <w:t>In 2011, for every $1 dollar that White Americans held in wealth, Black Americans held only 6 cents and Latino Americans held only 7 cents.</w:t>
      </w:r>
      <w:r>
        <w:rPr>
          <w:rStyle w:val="FootnoteReference"/>
          <w:rFonts w:ascii="Helvetica" w:hAnsi="Helvetica"/>
          <w:bCs/>
          <w:sz w:val="22"/>
          <w:szCs w:val="22"/>
        </w:rPr>
        <w:footnoteReference w:id="3"/>
      </w:r>
    </w:p>
    <w:p w14:paraId="23FFA80B" w14:textId="67306BB8" w:rsidR="00353AEF" w:rsidRDefault="00353AEF" w:rsidP="00353AEF">
      <w:pPr>
        <w:pStyle w:val="ListParagraph"/>
        <w:numPr>
          <w:ilvl w:val="0"/>
          <w:numId w:val="3"/>
        </w:numPr>
        <w:spacing w:after="200" w:line="276" w:lineRule="auto"/>
        <w:rPr>
          <w:rFonts w:ascii="Helvetica" w:hAnsi="Helvetica"/>
          <w:bCs/>
          <w:sz w:val="22"/>
          <w:szCs w:val="22"/>
        </w:rPr>
      </w:pPr>
      <w:r>
        <w:rPr>
          <w:rFonts w:ascii="Helvetica" w:hAnsi="Helvetica"/>
          <w:bCs/>
          <w:sz w:val="22"/>
          <w:szCs w:val="22"/>
        </w:rPr>
        <w:t xml:space="preserve">In 2000, Native American median wealth was only 8.7 percent of </w:t>
      </w:r>
      <w:r w:rsidRPr="00353AEF">
        <w:rPr>
          <w:rFonts w:ascii="Helvetica" w:hAnsi="Helvetica"/>
          <w:bCs/>
          <w:i/>
          <w:sz w:val="22"/>
          <w:szCs w:val="22"/>
        </w:rPr>
        <w:t>all</w:t>
      </w:r>
      <w:r>
        <w:rPr>
          <w:rFonts w:ascii="Helvetica" w:hAnsi="Helvetica"/>
          <w:bCs/>
          <w:sz w:val="22"/>
          <w:szCs w:val="22"/>
        </w:rPr>
        <w:t xml:space="preserve"> Americans’ median wealth.</w:t>
      </w:r>
      <w:r>
        <w:rPr>
          <w:rStyle w:val="FootnoteReference"/>
          <w:rFonts w:ascii="Helvetica" w:hAnsi="Helvetica"/>
          <w:bCs/>
          <w:sz w:val="22"/>
          <w:szCs w:val="22"/>
        </w:rPr>
        <w:footnoteReference w:id="4"/>
      </w:r>
    </w:p>
    <w:p w14:paraId="30DEFB09" w14:textId="1C7C8A02" w:rsidR="00353AEF" w:rsidRDefault="00353AEF" w:rsidP="00353AEF">
      <w:pPr>
        <w:pStyle w:val="ListParagraph"/>
        <w:numPr>
          <w:ilvl w:val="0"/>
          <w:numId w:val="3"/>
        </w:numPr>
        <w:spacing w:after="200" w:line="276" w:lineRule="auto"/>
        <w:rPr>
          <w:rFonts w:ascii="Helvetica" w:hAnsi="Helvetica"/>
          <w:bCs/>
          <w:sz w:val="22"/>
          <w:szCs w:val="22"/>
        </w:rPr>
      </w:pPr>
      <w:r>
        <w:rPr>
          <w:rFonts w:ascii="Helvetica" w:hAnsi="Helvetica"/>
          <w:bCs/>
          <w:sz w:val="22"/>
          <w:szCs w:val="22"/>
        </w:rPr>
        <w:t>In 2007, White women’s median wealth was $45,400 compared to Black women’s median wealth at just $100 and Latin</w:t>
      </w:r>
      <w:r w:rsidR="000B62FD">
        <w:rPr>
          <w:rFonts w:ascii="Helvetica" w:hAnsi="Helvetica"/>
          <w:bCs/>
          <w:sz w:val="22"/>
          <w:szCs w:val="22"/>
        </w:rPr>
        <w:t>a women at $120</w:t>
      </w:r>
      <w:r>
        <w:rPr>
          <w:rFonts w:ascii="Helvetica" w:hAnsi="Helvetica"/>
          <w:bCs/>
          <w:sz w:val="22"/>
          <w:szCs w:val="22"/>
        </w:rPr>
        <w:t>.</w:t>
      </w:r>
      <w:r>
        <w:rPr>
          <w:rStyle w:val="FootnoteReference"/>
          <w:rFonts w:ascii="Helvetica" w:hAnsi="Helvetica"/>
          <w:bCs/>
          <w:sz w:val="22"/>
          <w:szCs w:val="22"/>
        </w:rPr>
        <w:footnoteReference w:id="5"/>
      </w:r>
    </w:p>
    <w:p w14:paraId="66346451" w14:textId="359202A1" w:rsidR="00BE76EC" w:rsidRDefault="00BE76EC" w:rsidP="00353AEF">
      <w:pPr>
        <w:pStyle w:val="ListParagraph"/>
        <w:numPr>
          <w:ilvl w:val="0"/>
          <w:numId w:val="3"/>
        </w:numPr>
        <w:spacing w:after="200" w:line="276" w:lineRule="auto"/>
        <w:rPr>
          <w:rFonts w:ascii="Helvetica" w:hAnsi="Helvetica"/>
          <w:bCs/>
          <w:sz w:val="22"/>
          <w:szCs w:val="22"/>
        </w:rPr>
      </w:pPr>
      <w:r>
        <w:rPr>
          <w:rFonts w:ascii="Helvetica" w:hAnsi="Helvetica"/>
          <w:bCs/>
          <w:sz w:val="22"/>
          <w:szCs w:val="22"/>
        </w:rPr>
        <w:t>38 percent and 35 percent of Black and Latino households respectively reported having no financial assets compared to 14 percent of White households.</w:t>
      </w:r>
      <w:r>
        <w:rPr>
          <w:rStyle w:val="FootnoteReference"/>
          <w:rFonts w:ascii="Helvetica" w:hAnsi="Helvetica"/>
          <w:bCs/>
          <w:sz w:val="22"/>
          <w:szCs w:val="22"/>
        </w:rPr>
        <w:footnoteReference w:id="6"/>
      </w:r>
    </w:p>
    <w:p w14:paraId="2E2566AE" w14:textId="65DC574A" w:rsidR="00353AEF" w:rsidRDefault="00353AEF" w:rsidP="00353AEF">
      <w:pPr>
        <w:pStyle w:val="ListParagraph"/>
        <w:numPr>
          <w:ilvl w:val="0"/>
          <w:numId w:val="3"/>
        </w:numPr>
        <w:spacing w:after="200" w:line="276" w:lineRule="auto"/>
        <w:rPr>
          <w:rFonts w:ascii="Helvetica" w:hAnsi="Helvetica"/>
          <w:bCs/>
          <w:sz w:val="22"/>
          <w:szCs w:val="22"/>
        </w:rPr>
      </w:pPr>
      <w:r>
        <w:rPr>
          <w:rFonts w:ascii="Helvetica" w:hAnsi="Helvetica"/>
          <w:bCs/>
          <w:sz w:val="22"/>
          <w:szCs w:val="22"/>
        </w:rPr>
        <w:t>A Black or Latino college graduate, on average, held less wealth than a White high school dropout in 2013.</w:t>
      </w:r>
      <w:r>
        <w:rPr>
          <w:rStyle w:val="FootnoteReference"/>
          <w:rFonts w:ascii="Helvetica" w:hAnsi="Helvetica"/>
          <w:bCs/>
          <w:sz w:val="22"/>
          <w:szCs w:val="22"/>
        </w:rPr>
        <w:footnoteReference w:id="7"/>
      </w:r>
    </w:p>
    <w:p w14:paraId="0D006CBB" w14:textId="2B9C40E4" w:rsidR="00353AEF" w:rsidRDefault="00EE1D38" w:rsidP="00353AEF">
      <w:pPr>
        <w:pStyle w:val="ListParagraph"/>
        <w:numPr>
          <w:ilvl w:val="0"/>
          <w:numId w:val="3"/>
        </w:numPr>
        <w:spacing w:after="200" w:line="276" w:lineRule="auto"/>
        <w:rPr>
          <w:rFonts w:ascii="Helvetica" w:hAnsi="Helvetica"/>
          <w:bCs/>
          <w:sz w:val="22"/>
          <w:szCs w:val="22"/>
        </w:rPr>
      </w:pPr>
      <w:r w:rsidRPr="005605FE">
        <w:rPr>
          <w:noProof/>
        </w:rPr>
        <w:lastRenderedPageBreak/>
        <w:drawing>
          <wp:anchor distT="0" distB="0" distL="114300" distR="114300" simplePos="0" relativeHeight="251661312" behindDoc="1" locked="0" layoutInCell="1" allowOverlap="1" wp14:anchorId="0DE0D78E" wp14:editId="673D0FCC">
            <wp:simplePos x="0" y="0"/>
            <wp:positionH relativeFrom="column">
              <wp:posOffset>2830830</wp:posOffset>
            </wp:positionH>
            <wp:positionV relativeFrom="paragraph">
              <wp:posOffset>-8890</wp:posOffset>
            </wp:positionV>
            <wp:extent cx="3925570" cy="2400300"/>
            <wp:effectExtent l="19050" t="19050" r="17780" b="19050"/>
            <wp:wrapTight wrapText="bothSides">
              <wp:wrapPolygon edited="0">
                <wp:start x="-105" y="-171"/>
                <wp:lineTo x="-105" y="21600"/>
                <wp:lineTo x="21593" y="21600"/>
                <wp:lineTo x="21593" y="-171"/>
                <wp:lineTo x="-105" y="-171"/>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8"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925570" cy="2400300"/>
                    </a:xfrm>
                    <a:prstGeom prst="rect">
                      <a:avLst/>
                    </a:prstGeom>
                    <a:noFill/>
                    <a:ln w="9525">
                      <a:solidFill>
                        <a:sysClr val="windowText" lastClr="000000"/>
                      </a:solidFill>
                      <a:miter lim="800000"/>
                      <a:headEnd/>
                      <a:tailEnd/>
                    </a:ln>
                    <a:extLst/>
                  </pic:spPr>
                </pic:pic>
              </a:graphicData>
            </a:graphic>
            <wp14:sizeRelH relativeFrom="page">
              <wp14:pctWidth>0</wp14:pctWidth>
            </wp14:sizeRelH>
            <wp14:sizeRelV relativeFrom="page">
              <wp14:pctHeight>0</wp14:pctHeight>
            </wp14:sizeRelV>
          </wp:anchor>
        </w:drawing>
      </w:r>
      <w:r w:rsidR="00353AEF">
        <w:rPr>
          <w:rFonts w:ascii="Helvetica" w:hAnsi="Helvetica"/>
          <w:bCs/>
          <w:sz w:val="22"/>
          <w:szCs w:val="22"/>
        </w:rPr>
        <w:t>While the Great Recession affected most American families, the impact was particularly damaging for the assets of families of color. In 2010, the ratio of White wealth to Black wealth was 10:1; by 2013, that ratio increased to 13:1. Similarly, the ratio of White wealth to Latino wealth grew from 9:1 to 10:1 2010-2013.</w:t>
      </w:r>
      <w:r w:rsidR="00353AEF">
        <w:rPr>
          <w:rStyle w:val="FootnoteReference"/>
          <w:rFonts w:ascii="Helvetica" w:hAnsi="Helvetica"/>
          <w:bCs/>
          <w:sz w:val="22"/>
          <w:szCs w:val="22"/>
        </w:rPr>
        <w:footnoteReference w:id="8"/>
      </w:r>
    </w:p>
    <w:p w14:paraId="5BC90B32" w14:textId="2DA0F741" w:rsidR="00353AEF" w:rsidRDefault="00353AEF" w:rsidP="00353AEF">
      <w:pPr>
        <w:pStyle w:val="ListParagraph"/>
        <w:numPr>
          <w:ilvl w:val="0"/>
          <w:numId w:val="3"/>
        </w:numPr>
        <w:spacing w:after="200" w:line="276" w:lineRule="auto"/>
        <w:rPr>
          <w:rFonts w:ascii="Helvetica" w:hAnsi="Helvetica"/>
          <w:bCs/>
          <w:sz w:val="22"/>
          <w:szCs w:val="22"/>
        </w:rPr>
      </w:pPr>
      <w:r>
        <w:rPr>
          <w:rFonts w:ascii="Helvetica" w:hAnsi="Helvetica"/>
          <w:bCs/>
          <w:sz w:val="22"/>
          <w:szCs w:val="22"/>
        </w:rPr>
        <w:t>In 2011, less than half of Black and Latino households and less than 60 percent of Asian households owned a home compared to almost three-fourths of White households.</w:t>
      </w:r>
      <w:r>
        <w:rPr>
          <w:rStyle w:val="FootnoteReference"/>
          <w:rFonts w:ascii="Helvetica" w:hAnsi="Helvetica"/>
          <w:bCs/>
          <w:sz w:val="22"/>
          <w:szCs w:val="22"/>
        </w:rPr>
        <w:footnoteReference w:id="9"/>
      </w:r>
      <w:r>
        <w:rPr>
          <w:rFonts w:ascii="Helvetica" w:hAnsi="Helvetica"/>
          <w:bCs/>
          <w:sz w:val="22"/>
          <w:szCs w:val="22"/>
        </w:rPr>
        <w:t xml:space="preserve"> Less than six out of ten Native Americans owned their homes in 2007.</w:t>
      </w:r>
      <w:r>
        <w:rPr>
          <w:rStyle w:val="FootnoteReference"/>
          <w:rFonts w:ascii="Helvetica" w:hAnsi="Helvetica"/>
          <w:bCs/>
          <w:sz w:val="22"/>
          <w:szCs w:val="22"/>
        </w:rPr>
        <w:footnoteReference w:id="10"/>
      </w:r>
      <w:r>
        <w:rPr>
          <w:rFonts w:ascii="Helvetica" w:hAnsi="Helvetica"/>
          <w:bCs/>
          <w:sz w:val="22"/>
          <w:szCs w:val="22"/>
        </w:rPr>
        <w:t xml:space="preserve"> This disparity in homeownership is the single largest driver in the creation of the wealth gap.</w:t>
      </w:r>
      <w:r>
        <w:rPr>
          <w:rStyle w:val="FootnoteReference"/>
          <w:rFonts w:ascii="Helvetica" w:hAnsi="Helvetica"/>
          <w:bCs/>
          <w:sz w:val="22"/>
          <w:szCs w:val="22"/>
        </w:rPr>
        <w:footnoteReference w:id="11"/>
      </w:r>
    </w:p>
    <w:p w14:paraId="0088E991" w14:textId="5926BDFD" w:rsidR="00353AEF" w:rsidRDefault="00353AEF" w:rsidP="00353AEF">
      <w:pPr>
        <w:spacing w:after="200" w:line="276" w:lineRule="auto"/>
        <w:rPr>
          <w:rFonts w:ascii="Helvetica" w:hAnsi="Helvetica"/>
          <w:bCs/>
          <w:sz w:val="22"/>
          <w:szCs w:val="22"/>
        </w:rPr>
      </w:pPr>
      <w:r>
        <w:rPr>
          <w:rFonts w:ascii="Helvetica" w:hAnsi="Helvetica"/>
          <w:bCs/>
          <w:sz w:val="22"/>
          <w:szCs w:val="22"/>
        </w:rPr>
        <w:t>Homeownership has had a critical role in families amassing wealth as well as sustaining the racial wealth gap. Th</w:t>
      </w:r>
      <w:r w:rsidR="00867009">
        <w:rPr>
          <w:rFonts w:ascii="Helvetica" w:hAnsi="Helvetica"/>
          <w:bCs/>
          <w:sz w:val="22"/>
          <w:szCs w:val="22"/>
        </w:rPr>
        <w:t xml:space="preserve">e U.S. tax code includes over </w:t>
      </w:r>
      <w:r>
        <w:rPr>
          <w:rFonts w:ascii="Helvetica" w:hAnsi="Helvetica"/>
          <w:bCs/>
          <w:sz w:val="22"/>
          <w:szCs w:val="22"/>
        </w:rPr>
        <w:t>half a trillion in tax benefits—deductions, credits, exclusions and preferential rates—that in</w:t>
      </w:r>
      <w:r w:rsidR="00867009">
        <w:rPr>
          <w:rFonts w:ascii="Helvetica" w:hAnsi="Helvetica"/>
          <w:bCs/>
          <w:sz w:val="22"/>
          <w:szCs w:val="22"/>
        </w:rPr>
        <w:t>centivize households to build wealth.</w:t>
      </w:r>
      <w:r w:rsidR="00867009">
        <w:rPr>
          <w:rStyle w:val="FootnoteReference"/>
          <w:rFonts w:ascii="Helvetica" w:hAnsi="Helvetica"/>
          <w:bCs/>
          <w:sz w:val="22"/>
          <w:szCs w:val="22"/>
        </w:rPr>
        <w:footnoteReference w:id="12"/>
      </w:r>
      <w:r w:rsidR="00867009">
        <w:rPr>
          <w:rFonts w:ascii="Helvetica" w:hAnsi="Helvetica"/>
          <w:bCs/>
          <w:sz w:val="22"/>
          <w:szCs w:val="22"/>
        </w:rPr>
        <w:t xml:space="preserve"> Many of these tax benefits subsidize homeownership for millions of Americans; unfortunately, those subsidies are not accessible to many low-income communities and communities of color. Thus, they are not able to take advantage of the $211 billion in homeownership tax subsidies.</w:t>
      </w:r>
      <w:r w:rsidR="00867009">
        <w:rPr>
          <w:rStyle w:val="FootnoteReference"/>
          <w:rFonts w:ascii="Helvetica" w:hAnsi="Helvetica"/>
          <w:bCs/>
          <w:sz w:val="22"/>
          <w:szCs w:val="22"/>
        </w:rPr>
        <w:footnoteReference w:id="13"/>
      </w:r>
      <w:r w:rsidR="00867009">
        <w:rPr>
          <w:rFonts w:ascii="Helvetica" w:hAnsi="Helvetica"/>
          <w:bCs/>
          <w:sz w:val="22"/>
          <w:szCs w:val="22"/>
        </w:rPr>
        <w:t xml:space="preserve"> The racial wealth gap has become a pervasive problem that negatively impacts all communities in the United States and requires immediate action. </w:t>
      </w:r>
    </w:p>
    <w:p w14:paraId="37BFB6CE" w14:textId="2D4609CF" w:rsidR="00867009" w:rsidRPr="00353AEF" w:rsidRDefault="00867009" w:rsidP="00353AEF">
      <w:pPr>
        <w:spacing w:after="200" w:line="276" w:lineRule="auto"/>
        <w:rPr>
          <w:rFonts w:ascii="Helvetica" w:hAnsi="Helvetica"/>
          <w:bCs/>
          <w:sz w:val="22"/>
          <w:szCs w:val="22"/>
        </w:rPr>
      </w:pPr>
      <w:r>
        <w:rPr>
          <w:rFonts w:ascii="Helvetica" w:hAnsi="Helvetica"/>
          <w:bCs/>
          <w:sz w:val="22"/>
          <w:szCs w:val="22"/>
        </w:rPr>
        <w:t xml:space="preserve">The extreme racial wealth inequality has been created and now exacerbated by past discriminatory public policies and the federal tax system. From land-grabbing and slavery to the racial exclusion from the middle class in the mid twentieth century, the United States has a long history of marginalizing communities of color. The consequences, however, are still largely felt across the country as families of color have not been provided the opportunity to save, invest, and build wealth in the same capacity that White families have been provided. Understanding America’s history and tax system is fundamental to creating equitable public policies, especially as Congress considers tax reform in the upcoming </w:t>
      </w:r>
      <w:r w:rsidRPr="000116FB">
        <w:rPr>
          <w:rFonts w:ascii="Helvetica" w:hAnsi="Helvetica"/>
          <w:bCs/>
          <w:sz w:val="22"/>
          <w:szCs w:val="22"/>
        </w:rPr>
        <w:t>y</w:t>
      </w:r>
      <w:r>
        <w:rPr>
          <w:rFonts w:ascii="Helvetica" w:hAnsi="Helvetica"/>
          <w:bCs/>
          <w:sz w:val="22"/>
          <w:szCs w:val="22"/>
        </w:rPr>
        <w:t xml:space="preserve">ears. </w:t>
      </w:r>
      <w:bookmarkStart w:id="1" w:name="_GoBack"/>
      <w:bookmarkEnd w:id="1"/>
    </w:p>
    <w:sectPr w:rsidR="00867009" w:rsidRPr="00353AEF" w:rsidSect="000116FB">
      <w:footerReference w:type="default" r:id="rId12"/>
      <w:headerReference w:type="first" r:id="rId13"/>
      <w:footerReference w:type="first" r:id="rId14"/>
      <w:pgSz w:w="12240" w:h="15840"/>
      <w:pgMar w:top="1440" w:right="1152" w:bottom="720" w:left="115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4D04B" w14:textId="77777777" w:rsidR="00792B4C" w:rsidRDefault="00792B4C" w:rsidP="00E5738D">
      <w:r>
        <w:separator/>
      </w:r>
    </w:p>
  </w:endnote>
  <w:endnote w:type="continuationSeparator" w:id="0">
    <w:p w14:paraId="424D9F2B" w14:textId="77777777" w:rsidR="00792B4C" w:rsidRDefault="00792B4C"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D5CB" w14:textId="77777777" w:rsidR="00792B4C" w:rsidRDefault="00792B4C" w:rsidP="00E5738D">
      <w:r>
        <w:separator/>
      </w:r>
    </w:p>
  </w:footnote>
  <w:footnote w:type="continuationSeparator" w:id="0">
    <w:p w14:paraId="77938366" w14:textId="77777777" w:rsidR="00792B4C" w:rsidRDefault="00792B4C" w:rsidP="00E5738D">
      <w:r>
        <w:continuationSeparator/>
      </w:r>
    </w:p>
  </w:footnote>
  <w:footnote w:id="1">
    <w:p w14:paraId="4775862E" w14:textId="622F6029"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867009" w:rsidRPr="007D70D4">
        <w:rPr>
          <w:rFonts w:ascii="Helvetica" w:hAnsi="Helvetica"/>
          <w:bCs/>
          <w:sz w:val="16"/>
          <w:szCs w:val="16"/>
        </w:rPr>
        <w:t>Financial Social Work:</w:t>
      </w:r>
      <w:r w:rsidR="00867009" w:rsidRPr="007D70D4">
        <w:rPr>
          <w:sz w:val="16"/>
          <w:szCs w:val="16"/>
        </w:rPr>
        <w:t xml:space="preserve"> </w:t>
      </w:r>
      <w:hyperlink r:id="rId1" w:history="1">
        <w:r w:rsidR="00867009" w:rsidRPr="007D70D4">
          <w:rPr>
            <w:rStyle w:val="Hyperlink"/>
            <w:rFonts w:ascii="Helvetica" w:eastAsia="Franklin Gothic Book" w:hAnsi="Helvetica" w:cs="Helvetica"/>
            <w:sz w:val="16"/>
            <w:szCs w:val="16"/>
          </w:rPr>
          <w:t>https://www.financialsocialwork.com/blog/video-wealth-inequality-in-america</w:t>
        </w:r>
      </w:hyperlink>
    </w:p>
  </w:footnote>
  <w:footnote w:id="2">
    <w:p w14:paraId="019C611B" w14:textId="08BF13F9"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FA6FAE" w:rsidRPr="007D70D4">
        <w:rPr>
          <w:rFonts w:ascii="Helvetica" w:hAnsi="Helvetica"/>
          <w:bCs/>
          <w:sz w:val="16"/>
          <w:szCs w:val="16"/>
        </w:rPr>
        <w:t>The Urban Institute:</w:t>
      </w:r>
      <w:r w:rsidR="00867009" w:rsidRPr="007D70D4">
        <w:rPr>
          <w:sz w:val="16"/>
          <w:szCs w:val="16"/>
        </w:rPr>
        <w:t xml:space="preserve"> </w:t>
      </w:r>
      <w:hyperlink r:id="rId2" w:history="1">
        <w:r w:rsidR="00867009" w:rsidRPr="007D70D4">
          <w:rPr>
            <w:rStyle w:val="Hyperlink"/>
            <w:rFonts w:ascii="Helvetica" w:eastAsia="Franklin Gothic Book" w:hAnsi="Helvetica" w:cs="Helvetica"/>
            <w:sz w:val="16"/>
            <w:szCs w:val="16"/>
          </w:rPr>
          <w:t>http://datatools.urban.org/Features/wealth-inequality-charts/</w:t>
        </w:r>
      </w:hyperlink>
    </w:p>
  </w:footnote>
  <w:footnote w:id="3">
    <w:p w14:paraId="2B0AEB62" w14:textId="0A1D4BF3"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867009" w:rsidRPr="007D70D4">
        <w:rPr>
          <w:rFonts w:ascii="Helvetica" w:hAnsi="Helvetica"/>
          <w:bCs/>
          <w:sz w:val="16"/>
          <w:szCs w:val="16"/>
        </w:rPr>
        <w:t>Center for Global Policy Solutions (CGPS):</w:t>
      </w:r>
      <w:r w:rsidR="00867009" w:rsidRPr="007D70D4">
        <w:rPr>
          <w:sz w:val="16"/>
          <w:szCs w:val="16"/>
        </w:rPr>
        <w:t xml:space="preserve"> </w:t>
      </w:r>
      <w:hyperlink r:id="rId3" w:history="1">
        <w:r w:rsidR="00867009" w:rsidRPr="007D70D4">
          <w:rPr>
            <w:rStyle w:val="Hyperlink"/>
            <w:rFonts w:ascii="Helvetica" w:eastAsia="Franklin Gothic Book" w:hAnsi="Helvetica" w:cs="Helvetica"/>
            <w:sz w:val="16"/>
            <w:szCs w:val="16"/>
          </w:rPr>
          <w:t>http://globalpolicysolutions.org/wp-content/uploads/2014/04/Beyond_Broke_FINAL.pdf</w:t>
        </w:r>
      </w:hyperlink>
    </w:p>
  </w:footnote>
  <w:footnote w:id="4">
    <w:p w14:paraId="47A15C51" w14:textId="6927BC36"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867009" w:rsidRPr="007D70D4">
        <w:rPr>
          <w:rFonts w:ascii="Helvetica" w:hAnsi="Helvetica"/>
          <w:bCs/>
          <w:sz w:val="16"/>
          <w:szCs w:val="16"/>
        </w:rPr>
        <w:t>E</w:t>
      </w:r>
      <w:r w:rsidR="00BE76EC" w:rsidRPr="007D70D4">
        <w:rPr>
          <w:rFonts w:ascii="Helvetica" w:hAnsi="Helvetica"/>
          <w:bCs/>
          <w:sz w:val="16"/>
          <w:szCs w:val="16"/>
        </w:rPr>
        <w:t xml:space="preserve">conomic Policy </w:t>
      </w:r>
      <w:r w:rsidR="00867009" w:rsidRPr="007D70D4">
        <w:rPr>
          <w:rFonts w:ascii="Helvetica" w:hAnsi="Helvetica"/>
          <w:bCs/>
          <w:sz w:val="16"/>
          <w:szCs w:val="16"/>
        </w:rPr>
        <w:t>I</w:t>
      </w:r>
      <w:r w:rsidR="00BE76EC" w:rsidRPr="007D70D4">
        <w:rPr>
          <w:rFonts w:ascii="Helvetica" w:hAnsi="Helvetica"/>
          <w:bCs/>
          <w:sz w:val="16"/>
          <w:szCs w:val="16"/>
        </w:rPr>
        <w:t>nstitute</w:t>
      </w:r>
      <w:r w:rsidR="00867009" w:rsidRPr="007D70D4">
        <w:rPr>
          <w:rFonts w:ascii="Helvetica" w:hAnsi="Helvetica"/>
          <w:bCs/>
          <w:sz w:val="16"/>
          <w:szCs w:val="16"/>
        </w:rPr>
        <w:t>:</w:t>
      </w:r>
      <w:r w:rsidR="00867009" w:rsidRPr="007D70D4">
        <w:rPr>
          <w:sz w:val="16"/>
          <w:szCs w:val="16"/>
        </w:rPr>
        <w:t xml:space="preserve"> </w:t>
      </w:r>
      <w:hyperlink r:id="rId4" w:history="1">
        <w:r w:rsidR="00867009" w:rsidRPr="007D70D4">
          <w:rPr>
            <w:rStyle w:val="Hyperlink"/>
            <w:rFonts w:ascii="Helvetica" w:eastAsia="Franklin Gothic Book" w:hAnsi="Helvetica" w:cs="Helvetica"/>
            <w:sz w:val="16"/>
            <w:szCs w:val="16"/>
          </w:rPr>
          <w:t>http://www.epi.org/publication/bp370-native-americans-jobs/</w:t>
        </w:r>
      </w:hyperlink>
      <w:r w:rsidR="00867009" w:rsidRPr="007D70D4">
        <w:rPr>
          <w:rStyle w:val="Hyperlink"/>
          <w:rFonts w:ascii="Helvetica" w:eastAsia="Franklin Gothic Book" w:hAnsi="Helvetica" w:cs="Helvetica"/>
          <w:sz w:val="16"/>
          <w:szCs w:val="16"/>
        </w:rPr>
        <w:t xml:space="preserve">   </w:t>
      </w:r>
    </w:p>
  </w:footnote>
  <w:footnote w:id="5">
    <w:p w14:paraId="298E654A" w14:textId="1A69EBEE"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867009" w:rsidRPr="007D70D4">
        <w:rPr>
          <w:rFonts w:ascii="Helvetica" w:hAnsi="Helvetica"/>
          <w:bCs/>
          <w:sz w:val="16"/>
          <w:szCs w:val="16"/>
        </w:rPr>
        <w:t>CGPS:</w:t>
      </w:r>
      <w:r w:rsidR="00867009" w:rsidRPr="007D70D4">
        <w:rPr>
          <w:sz w:val="16"/>
          <w:szCs w:val="16"/>
        </w:rPr>
        <w:t xml:space="preserve"> </w:t>
      </w:r>
      <w:hyperlink r:id="rId5" w:anchor="prettyPhoto[gallery1572]/0/" w:history="1">
        <w:r w:rsidR="00867009" w:rsidRPr="007D70D4">
          <w:rPr>
            <w:rStyle w:val="Hyperlink"/>
            <w:rFonts w:ascii="Helvetica" w:eastAsia="Franklin Gothic Book" w:hAnsi="Helvetica" w:cs="Helvetica"/>
            <w:sz w:val="16"/>
            <w:szCs w:val="16"/>
          </w:rPr>
          <w:t>http://globalpolicysolutions.org/resources/wealth-gap-women-color/#prettyPhoto[gallery1572]/0/</w:t>
        </w:r>
      </w:hyperlink>
    </w:p>
  </w:footnote>
  <w:footnote w:id="6">
    <w:p w14:paraId="3D7BAD70" w14:textId="67F4DEBA" w:rsidR="00BE76EC" w:rsidRPr="007D70D4" w:rsidRDefault="00BE76EC">
      <w:pPr>
        <w:pStyle w:val="FootnoteText"/>
        <w:rPr>
          <w:sz w:val="18"/>
          <w:szCs w:val="18"/>
        </w:rPr>
      </w:pPr>
      <w:r w:rsidRPr="007D70D4">
        <w:rPr>
          <w:rStyle w:val="FootnoteReference"/>
          <w:sz w:val="16"/>
          <w:szCs w:val="16"/>
        </w:rPr>
        <w:footnoteRef/>
      </w:r>
      <w:r w:rsidRPr="007D70D4">
        <w:rPr>
          <w:sz w:val="16"/>
          <w:szCs w:val="16"/>
        </w:rPr>
        <w:t xml:space="preserve"> </w:t>
      </w:r>
      <w:r w:rsidRPr="007D70D4">
        <w:rPr>
          <w:rFonts w:ascii="Helvetica" w:hAnsi="Helvetica"/>
          <w:bCs/>
          <w:sz w:val="16"/>
          <w:szCs w:val="16"/>
        </w:rPr>
        <w:t>CGPS:</w:t>
      </w:r>
      <w:r w:rsidRPr="007D70D4">
        <w:rPr>
          <w:sz w:val="16"/>
          <w:szCs w:val="16"/>
        </w:rPr>
        <w:t xml:space="preserve"> </w:t>
      </w:r>
      <w:hyperlink r:id="rId6" w:history="1">
        <w:r w:rsidRPr="007D70D4">
          <w:rPr>
            <w:rStyle w:val="Hyperlink"/>
            <w:rFonts w:ascii="Helvetica" w:eastAsia="Franklin Gothic Book" w:hAnsi="Helvetica" w:cs="Helvetica"/>
            <w:sz w:val="16"/>
            <w:szCs w:val="16"/>
          </w:rPr>
          <w:t>http://globalpolicysolutions.org/wp-content/uploads/2014/04/Beyond_Broke_FINAL.pdf</w:t>
        </w:r>
      </w:hyperlink>
    </w:p>
  </w:footnote>
  <w:footnote w:id="7">
    <w:p w14:paraId="20ABF99B" w14:textId="3491322D" w:rsidR="00353AEF" w:rsidRPr="007D70D4" w:rsidRDefault="00353AEF" w:rsidP="00303716">
      <w:pPr>
        <w:pStyle w:val="FootnoteText"/>
        <w:spacing w:after="200"/>
        <w:rPr>
          <w:sz w:val="16"/>
          <w:szCs w:val="16"/>
        </w:rPr>
      </w:pPr>
      <w:r w:rsidRPr="007D70D4">
        <w:rPr>
          <w:rStyle w:val="FootnoteReference"/>
          <w:sz w:val="16"/>
          <w:szCs w:val="16"/>
        </w:rPr>
        <w:footnoteRef/>
      </w:r>
      <w:r w:rsidRPr="007D70D4">
        <w:rPr>
          <w:sz w:val="16"/>
          <w:szCs w:val="16"/>
        </w:rPr>
        <w:t xml:space="preserve"> </w:t>
      </w:r>
      <w:r w:rsidR="00BE76EC" w:rsidRPr="007D70D4">
        <w:rPr>
          <w:rFonts w:ascii="Helvetica" w:hAnsi="Helvetica"/>
          <w:bCs/>
          <w:sz w:val="16"/>
          <w:szCs w:val="16"/>
        </w:rPr>
        <w:t>Demos:</w:t>
      </w:r>
      <w:r w:rsidR="00BE76EC" w:rsidRPr="007D70D4">
        <w:rPr>
          <w:sz w:val="16"/>
          <w:szCs w:val="16"/>
        </w:rPr>
        <w:t xml:space="preserve"> </w:t>
      </w:r>
      <w:hyperlink r:id="rId7" w:history="1">
        <w:r w:rsidR="00BE76EC" w:rsidRPr="007D70D4">
          <w:rPr>
            <w:rStyle w:val="Hyperlink"/>
            <w:rFonts w:ascii="Helvetica" w:eastAsia="Franklin Gothic Book" w:hAnsi="Helvetica" w:cs="Helvetica"/>
            <w:sz w:val="16"/>
            <w:szCs w:val="16"/>
          </w:rPr>
          <w:t>http://www.demos.org/blog/9/23/14/white-high-school-dropouts-have-more-wealth-black-and-hispanic-college-graduates</w:t>
        </w:r>
      </w:hyperlink>
    </w:p>
  </w:footnote>
  <w:footnote w:id="8">
    <w:p w14:paraId="1FD1119A" w14:textId="3DC3D227"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BE76EC" w:rsidRPr="007D70D4">
        <w:rPr>
          <w:rFonts w:ascii="Helvetica" w:hAnsi="Helvetica"/>
          <w:bCs/>
          <w:sz w:val="16"/>
          <w:szCs w:val="16"/>
        </w:rPr>
        <w:t>Pew Research Center:</w:t>
      </w:r>
      <w:r w:rsidR="00BE76EC" w:rsidRPr="007D70D4">
        <w:rPr>
          <w:sz w:val="16"/>
          <w:szCs w:val="16"/>
        </w:rPr>
        <w:t xml:space="preserve"> </w:t>
      </w:r>
      <w:hyperlink r:id="rId8" w:history="1">
        <w:r w:rsidR="00BE76EC" w:rsidRPr="007D70D4">
          <w:rPr>
            <w:rStyle w:val="Hyperlink"/>
            <w:rFonts w:ascii="Helvetica" w:eastAsia="Franklin Gothic Book" w:hAnsi="Helvetica" w:cs="Helvetica"/>
            <w:sz w:val="16"/>
            <w:szCs w:val="16"/>
          </w:rPr>
          <w:t>http://www.pewresearch.org/fact-tank/2014/12/12/racial-wealth-gaps-great-recession/</w:t>
        </w:r>
      </w:hyperlink>
    </w:p>
  </w:footnote>
  <w:footnote w:id="9">
    <w:p w14:paraId="076D2C6E" w14:textId="326C4E5A"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BE76EC" w:rsidRPr="007D70D4">
        <w:rPr>
          <w:rFonts w:ascii="Helvetica" w:hAnsi="Helvetica"/>
          <w:bCs/>
          <w:sz w:val="16"/>
          <w:szCs w:val="16"/>
        </w:rPr>
        <w:t>Demos:</w:t>
      </w:r>
      <w:r w:rsidR="00BE76EC" w:rsidRPr="007D70D4">
        <w:rPr>
          <w:sz w:val="16"/>
          <w:szCs w:val="16"/>
        </w:rPr>
        <w:t xml:space="preserve"> </w:t>
      </w:r>
      <w:hyperlink r:id="rId9" w:history="1">
        <w:r w:rsidR="00BE76EC" w:rsidRPr="007D70D4">
          <w:rPr>
            <w:rStyle w:val="Hyperlink"/>
            <w:rFonts w:ascii="Helvetica" w:eastAsia="Franklin Gothic Book" w:hAnsi="Helvetica" w:cs="Helvetica"/>
            <w:sz w:val="16"/>
            <w:szCs w:val="16"/>
          </w:rPr>
          <w:t>http://www.demos.org/publication/racial-wealth-gap-why-policy-matters</w:t>
        </w:r>
      </w:hyperlink>
    </w:p>
  </w:footnote>
  <w:footnote w:id="10">
    <w:p w14:paraId="66CD214E" w14:textId="128922BC"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BE76EC" w:rsidRPr="007D70D4">
        <w:rPr>
          <w:rFonts w:ascii="Helvetica" w:hAnsi="Helvetica"/>
          <w:bCs/>
          <w:sz w:val="16"/>
          <w:szCs w:val="16"/>
        </w:rPr>
        <w:t>Insight Center for Community Economic Development:</w:t>
      </w:r>
      <w:r w:rsidR="00BE76EC" w:rsidRPr="007D70D4">
        <w:rPr>
          <w:sz w:val="16"/>
          <w:szCs w:val="16"/>
        </w:rPr>
        <w:t xml:space="preserve"> </w:t>
      </w:r>
      <w:hyperlink r:id="rId10" w:history="1">
        <w:r w:rsidR="00BE76EC" w:rsidRPr="007D70D4">
          <w:rPr>
            <w:rStyle w:val="Hyperlink"/>
            <w:rFonts w:ascii="Helvetica" w:eastAsia="Franklin Gothic Book" w:hAnsi="Helvetica" w:cs="Helvetica"/>
            <w:sz w:val="16"/>
            <w:szCs w:val="16"/>
          </w:rPr>
          <w:t>http://www.insightcced.org/uploads/CRWG/Racial%20Gap%20in%20Homeownership%20Spring%202009.pdf</w:t>
        </w:r>
      </w:hyperlink>
      <w:r w:rsidR="00BE76EC" w:rsidRPr="007D70D4">
        <w:rPr>
          <w:sz w:val="16"/>
          <w:szCs w:val="16"/>
        </w:rPr>
        <w:t xml:space="preserve">    </w:t>
      </w:r>
    </w:p>
  </w:footnote>
  <w:footnote w:id="11">
    <w:p w14:paraId="27211732" w14:textId="4BD9CB37" w:rsidR="00353AEF" w:rsidRPr="007D70D4" w:rsidRDefault="00353AEF">
      <w:pPr>
        <w:pStyle w:val="FootnoteText"/>
        <w:rPr>
          <w:sz w:val="16"/>
          <w:szCs w:val="16"/>
        </w:rPr>
      </w:pPr>
      <w:r w:rsidRPr="007D70D4">
        <w:rPr>
          <w:rStyle w:val="FootnoteReference"/>
          <w:sz w:val="16"/>
          <w:szCs w:val="16"/>
        </w:rPr>
        <w:footnoteRef/>
      </w:r>
      <w:r w:rsidRPr="007D70D4">
        <w:rPr>
          <w:sz w:val="16"/>
          <w:szCs w:val="16"/>
        </w:rPr>
        <w:t xml:space="preserve"> </w:t>
      </w:r>
      <w:r w:rsidR="00BE76EC" w:rsidRPr="007D70D4">
        <w:rPr>
          <w:rFonts w:ascii="Helvetica" w:hAnsi="Helvetica"/>
          <w:bCs/>
          <w:sz w:val="16"/>
          <w:szCs w:val="16"/>
        </w:rPr>
        <w:t>Institute for Assets and Social Policy:</w:t>
      </w:r>
      <w:r w:rsidR="00BE76EC" w:rsidRPr="007D70D4">
        <w:rPr>
          <w:sz w:val="16"/>
          <w:szCs w:val="16"/>
        </w:rPr>
        <w:t xml:space="preserve"> </w:t>
      </w:r>
      <w:hyperlink r:id="rId11" w:history="1">
        <w:r w:rsidR="00BE76EC" w:rsidRPr="007D70D4">
          <w:rPr>
            <w:rStyle w:val="Hyperlink"/>
            <w:rFonts w:ascii="Helvetica" w:eastAsia="Franklin Gothic Book" w:hAnsi="Helvetica" w:cs="Helvetica"/>
            <w:sz w:val="16"/>
            <w:szCs w:val="16"/>
          </w:rPr>
          <w:t>http://iasp.brandeis.edu/pdfs/2015/RWA.pdf</w:t>
        </w:r>
      </w:hyperlink>
      <w:r w:rsidR="00BE76EC" w:rsidRPr="007D70D4">
        <w:rPr>
          <w:sz w:val="16"/>
          <w:szCs w:val="16"/>
        </w:rPr>
        <w:t xml:space="preserve"> </w:t>
      </w:r>
      <w:r w:rsidR="00867009" w:rsidRPr="007D70D4">
        <w:rPr>
          <w:sz w:val="16"/>
          <w:szCs w:val="16"/>
        </w:rPr>
        <w:t xml:space="preserve">    </w:t>
      </w:r>
    </w:p>
  </w:footnote>
  <w:footnote w:id="12">
    <w:p w14:paraId="3C468F38" w14:textId="327DE8DF" w:rsidR="00867009" w:rsidRPr="007D70D4" w:rsidRDefault="00867009">
      <w:pPr>
        <w:pStyle w:val="FootnoteText"/>
        <w:rPr>
          <w:sz w:val="16"/>
          <w:szCs w:val="16"/>
        </w:rPr>
      </w:pPr>
      <w:r w:rsidRPr="007D70D4">
        <w:rPr>
          <w:rStyle w:val="FootnoteReference"/>
          <w:sz w:val="16"/>
          <w:szCs w:val="16"/>
        </w:rPr>
        <w:footnoteRef/>
      </w:r>
      <w:r w:rsidRPr="007D70D4">
        <w:rPr>
          <w:sz w:val="16"/>
          <w:szCs w:val="16"/>
        </w:rPr>
        <w:t xml:space="preserve"> </w:t>
      </w:r>
      <w:r w:rsidR="00BE76EC" w:rsidRPr="007D70D4">
        <w:rPr>
          <w:rFonts w:ascii="Helvetica" w:hAnsi="Helvetica"/>
          <w:bCs/>
          <w:sz w:val="16"/>
          <w:szCs w:val="16"/>
        </w:rPr>
        <w:t>CFED:</w:t>
      </w:r>
      <w:r w:rsidR="00BE76EC" w:rsidRPr="007D70D4">
        <w:rPr>
          <w:sz w:val="16"/>
          <w:szCs w:val="16"/>
        </w:rPr>
        <w:t xml:space="preserve"> </w:t>
      </w:r>
      <w:hyperlink r:id="rId12" w:history="1">
        <w:r w:rsidR="00BE76EC" w:rsidRPr="007D70D4">
          <w:rPr>
            <w:rStyle w:val="Hyperlink"/>
            <w:rFonts w:ascii="Helvetica" w:eastAsia="Franklin Gothic Book" w:hAnsi="Helvetica" w:cs="Helvetica"/>
            <w:sz w:val="16"/>
            <w:szCs w:val="16"/>
          </w:rPr>
          <w:t>http://cfed.org/assets/pdfs/Upside_Down_to_Right-Side_Up_2014.pdf</w:t>
        </w:r>
      </w:hyperlink>
    </w:p>
  </w:footnote>
  <w:footnote w:id="13">
    <w:p w14:paraId="5125B055" w14:textId="7DD18954" w:rsidR="00867009" w:rsidRDefault="00867009" w:rsidP="00303716">
      <w:pPr>
        <w:pStyle w:val="FootnoteText"/>
        <w:spacing w:after="200"/>
      </w:pPr>
      <w:r w:rsidRPr="007D70D4">
        <w:rPr>
          <w:rStyle w:val="FootnoteReference"/>
          <w:sz w:val="16"/>
          <w:szCs w:val="16"/>
        </w:rPr>
        <w:footnoteRef/>
      </w:r>
      <w:r w:rsidRPr="007D70D4">
        <w:rPr>
          <w:sz w:val="16"/>
          <w:szCs w:val="16"/>
        </w:rPr>
        <w:t xml:space="preserve"> </w:t>
      </w:r>
      <w:r w:rsidRPr="007D70D4">
        <w:rPr>
          <w:rFonts w:ascii="Helvetica" w:hAnsi="Helvetica"/>
          <w:bCs/>
          <w:sz w:val="16"/>
          <w:szCs w:val="16"/>
        </w:rPr>
        <w:t>CFED</w:t>
      </w:r>
      <w:r w:rsidR="00BE76EC" w:rsidRPr="007D70D4">
        <w:rPr>
          <w:rFonts w:ascii="Helvetica" w:hAnsi="Helvetica"/>
          <w:bCs/>
          <w:sz w:val="16"/>
          <w:szCs w:val="16"/>
        </w:rPr>
        <w:t>:</w:t>
      </w:r>
      <w:r w:rsidR="00BE76EC" w:rsidRPr="007D70D4">
        <w:rPr>
          <w:sz w:val="16"/>
          <w:szCs w:val="16"/>
        </w:rPr>
        <w:t xml:space="preserve"> </w:t>
      </w:r>
      <w:hyperlink r:id="rId13" w:history="1">
        <w:r w:rsidR="00BE76EC" w:rsidRPr="007D70D4">
          <w:rPr>
            <w:rStyle w:val="Hyperlink"/>
            <w:rFonts w:ascii="Helvetica" w:eastAsia="Franklin Gothic Book" w:hAnsi="Helvetica" w:cs="Helvetica"/>
            <w:sz w:val="16"/>
            <w:szCs w:val="16"/>
          </w:rPr>
          <w:t>http://cfed.org/blog/inclusiveeconomy/upside_down_the_211_billion_budget_to_house_the_wealthiest_homeowners/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1A29A3E5">
          <wp:simplePos x="0" y="0"/>
          <wp:positionH relativeFrom="column">
            <wp:posOffset>0</wp:posOffset>
          </wp:positionH>
          <wp:positionV relativeFrom="paragraph">
            <wp:posOffset>29210</wp:posOffset>
          </wp:positionV>
          <wp:extent cx="1600200" cy="835660"/>
          <wp:effectExtent l="0" t="0" r="0" b="2540"/>
          <wp:wrapTight wrapText="bothSides">
            <wp:wrapPolygon edited="0">
              <wp:start x="0" y="0"/>
              <wp:lineTo x="0" y="21173"/>
              <wp:lineTo x="21343" y="21173"/>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3877AD26" w:rsidR="00527124" w:rsidRPr="00390351" w:rsidRDefault="00FA6FAE" w:rsidP="00527124">
    <w:pPr>
      <w:pStyle w:val="Header"/>
      <w:jc w:val="right"/>
      <w:rPr>
        <w:rFonts w:ascii="Helvetica" w:hAnsi="Helvetica"/>
        <w:color w:val="58585B"/>
        <w:sz w:val="22"/>
        <w:szCs w:val="22"/>
      </w:rPr>
    </w:pPr>
    <w:r>
      <w:rPr>
        <w:rFonts w:ascii="Helvetica" w:hAnsi="Helvetica"/>
        <w:color w:val="58585B"/>
        <w:sz w:val="22"/>
        <w:szCs w:val="22"/>
      </w:rPr>
      <w:t>July 2015</w:t>
    </w:r>
    <w:r w:rsidR="00527124" w:rsidRPr="00390351">
      <w:rPr>
        <w:rFonts w:ascii="Helvetica" w:hAnsi="Helvetica"/>
        <w:color w:val="58585B"/>
        <w:sz w:val="22"/>
        <w:szCs w:val="22"/>
      </w:rPr>
      <w:t xml:space="preserve"> | U.S. Poverty</w:t>
    </w:r>
    <w:r w:rsidR="00766D61">
      <w:rPr>
        <w:rFonts w:ascii="Helvetica" w:hAnsi="Helvetica"/>
        <w:color w:val="58585B"/>
        <w:sz w:val="22"/>
        <w:szCs w:val="22"/>
      </w:rPr>
      <w:t xml:space="preserve"> Background</w:t>
    </w:r>
  </w:p>
  <w:p w14:paraId="7DBC281B" w14:textId="365B9210" w:rsidR="0063161A" w:rsidRPr="00527124" w:rsidRDefault="00FA6FAE" w:rsidP="0063161A">
    <w:pPr>
      <w:pStyle w:val="Header"/>
      <w:spacing w:after="240"/>
      <w:jc w:val="right"/>
      <w:rPr>
        <w:rFonts w:ascii="Helvetica" w:hAnsi="Helvetica"/>
        <w:color w:val="58585B"/>
        <w:sz w:val="56"/>
        <w:szCs w:val="56"/>
      </w:rPr>
    </w:pPr>
    <w:r>
      <w:rPr>
        <w:rFonts w:ascii="Helvetica" w:hAnsi="Helvetica"/>
        <w:color w:val="58585B"/>
        <w:sz w:val="56"/>
        <w:szCs w:val="56"/>
      </w:rPr>
      <w:t>W</w:t>
    </w:r>
    <w:r w:rsidR="00407730">
      <w:rPr>
        <w:rFonts w:ascii="Helvetica" w:hAnsi="Helvetica"/>
        <w:color w:val="58585B"/>
        <w:sz w:val="56"/>
        <w:szCs w:val="56"/>
      </w:rPr>
      <w:t xml:space="preserve">EALTH GAP </w:t>
    </w:r>
    <w:r w:rsidR="0063161A">
      <w:rPr>
        <w:rFonts w:ascii="Helvetica" w:hAnsi="Helvetica"/>
        <w:color w:val="58585B"/>
        <w:sz w:val="56"/>
        <w:szCs w:val="56"/>
      </w:rPr>
      <w:t>FACTS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BAC"/>
    <w:multiLevelType w:val="hybridMultilevel"/>
    <w:tmpl w:val="CEFA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0116FB"/>
    <w:rsid w:val="000B62FD"/>
    <w:rsid w:val="001D6B91"/>
    <w:rsid w:val="0021432D"/>
    <w:rsid w:val="00303716"/>
    <w:rsid w:val="00353AEF"/>
    <w:rsid w:val="00390351"/>
    <w:rsid w:val="003D054A"/>
    <w:rsid w:val="00407730"/>
    <w:rsid w:val="0046169B"/>
    <w:rsid w:val="004D2D31"/>
    <w:rsid w:val="00527124"/>
    <w:rsid w:val="005370EE"/>
    <w:rsid w:val="00557E29"/>
    <w:rsid w:val="005A6657"/>
    <w:rsid w:val="005E4A16"/>
    <w:rsid w:val="0063161A"/>
    <w:rsid w:val="00697654"/>
    <w:rsid w:val="00766D61"/>
    <w:rsid w:val="00792B4C"/>
    <w:rsid w:val="007C746D"/>
    <w:rsid w:val="007D4CAC"/>
    <w:rsid w:val="007D70D4"/>
    <w:rsid w:val="00826CB8"/>
    <w:rsid w:val="00867009"/>
    <w:rsid w:val="008C2505"/>
    <w:rsid w:val="008E624C"/>
    <w:rsid w:val="00A6423B"/>
    <w:rsid w:val="00A87256"/>
    <w:rsid w:val="00B9113B"/>
    <w:rsid w:val="00B95AC9"/>
    <w:rsid w:val="00BE76EC"/>
    <w:rsid w:val="00C3068B"/>
    <w:rsid w:val="00CA103D"/>
    <w:rsid w:val="00D31736"/>
    <w:rsid w:val="00E13A6A"/>
    <w:rsid w:val="00E47204"/>
    <w:rsid w:val="00E5738D"/>
    <w:rsid w:val="00EE1D38"/>
    <w:rsid w:val="00EE32CD"/>
    <w:rsid w:val="00FA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6DD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353AEF"/>
    <w:rPr>
      <w:sz w:val="20"/>
      <w:szCs w:val="20"/>
    </w:rPr>
  </w:style>
  <w:style w:type="character" w:customStyle="1" w:styleId="FootnoteTextChar">
    <w:name w:val="Footnote Text Char"/>
    <w:basedOn w:val="DefaultParagraphFont"/>
    <w:link w:val="FootnoteText"/>
    <w:uiPriority w:val="99"/>
    <w:semiHidden/>
    <w:rsid w:val="00353AEF"/>
    <w:rPr>
      <w:sz w:val="20"/>
      <w:szCs w:val="20"/>
    </w:rPr>
  </w:style>
  <w:style w:type="character" w:styleId="FootnoteReference">
    <w:name w:val="footnote reference"/>
    <w:basedOn w:val="DefaultParagraphFont"/>
    <w:uiPriority w:val="99"/>
    <w:semiHidden/>
    <w:unhideWhenUsed/>
    <w:rsid w:val="00353A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353AEF"/>
    <w:rPr>
      <w:sz w:val="20"/>
      <w:szCs w:val="20"/>
    </w:rPr>
  </w:style>
  <w:style w:type="character" w:customStyle="1" w:styleId="FootnoteTextChar">
    <w:name w:val="Footnote Text Char"/>
    <w:basedOn w:val="DefaultParagraphFont"/>
    <w:link w:val="FootnoteText"/>
    <w:uiPriority w:val="99"/>
    <w:semiHidden/>
    <w:rsid w:val="00353AEF"/>
    <w:rPr>
      <w:sz w:val="20"/>
      <w:szCs w:val="20"/>
    </w:rPr>
  </w:style>
  <w:style w:type="character" w:styleId="FootnoteReference">
    <w:name w:val="footnote reference"/>
    <w:basedOn w:val="DefaultParagraphFont"/>
    <w:uiPriority w:val="99"/>
    <w:semiHidden/>
    <w:unhideWhenUsed/>
    <w:rsid w:val="00353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ewresearch.org/fact-tank/2014/12/12/racial-wealth-gaps-great-recession/" TargetMode="External"/><Relationship Id="rId13" Type="http://schemas.openxmlformats.org/officeDocument/2006/relationships/hyperlink" Target="http://cfed.org/blog/inclusiveeconomy/upside_down_the_211_billion_budget_to_house_the_wealthiest_homeowners/" TargetMode="External"/><Relationship Id="rId3" Type="http://schemas.openxmlformats.org/officeDocument/2006/relationships/hyperlink" Target="http://globalpolicysolutions.org/wp-content/uploads/2014/04/Beyond_Broke_FINAL.pdf" TargetMode="External"/><Relationship Id="rId7" Type="http://schemas.openxmlformats.org/officeDocument/2006/relationships/hyperlink" Target="http://www.demos.org/blog/9/23/14/white-high-school-dropouts-have-more-wealth-black-and-hispanic-college-graduates" TargetMode="External"/><Relationship Id="rId12" Type="http://schemas.openxmlformats.org/officeDocument/2006/relationships/hyperlink" Target="http://cfed.org/assets/pdfs/Upside_Down_to_Right-Side_Up_2014.pdf" TargetMode="External"/><Relationship Id="rId2" Type="http://schemas.openxmlformats.org/officeDocument/2006/relationships/hyperlink" Target="http://datatools.urban.org/Features/wealth-inequality-charts/" TargetMode="External"/><Relationship Id="rId1" Type="http://schemas.openxmlformats.org/officeDocument/2006/relationships/hyperlink" Target="https://www.financialsocialwork.com/blog/video-wealth-inequality-in-america" TargetMode="External"/><Relationship Id="rId6" Type="http://schemas.openxmlformats.org/officeDocument/2006/relationships/hyperlink" Target="http://globalpolicysolutions.org/wp-content/uploads/2014/04/Beyond_Broke_FINAL.pdf" TargetMode="External"/><Relationship Id="rId11" Type="http://schemas.openxmlformats.org/officeDocument/2006/relationships/hyperlink" Target="http://iasp.brandeis.edu/pdfs/2015/RWA.pdf" TargetMode="External"/><Relationship Id="rId5" Type="http://schemas.openxmlformats.org/officeDocument/2006/relationships/hyperlink" Target="http://globalpolicysolutions.org/resources/wealth-gap-women-color/" TargetMode="External"/><Relationship Id="rId10" Type="http://schemas.openxmlformats.org/officeDocument/2006/relationships/hyperlink" Target="http://www.insightcced.org/uploads/CRWG/Racial%20Gap%20in%20Homeownership%20Spring%202009.pdf" TargetMode="External"/><Relationship Id="rId4" Type="http://schemas.openxmlformats.org/officeDocument/2006/relationships/hyperlink" Target="http://www.epi.org/publication/bp370-native-americans-jobs/" TargetMode="External"/><Relationship Id="rId9" Type="http://schemas.openxmlformats.org/officeDocument/2006/relationships/hyperlink" Target="http://www.demos.org/publication/racial-wealth-gap-why-policy-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9A70-66EB-4FE5-8BBE-4BB0A01B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Tade Mengesha</cp:lastModifiedBy>
  <cp:revision>9</cp:revision>
  <cp:lastPrinted>2015-07-16T16:17:00Z</cp:lastPrinted>
  <dcterms:created xsi:type="dcterms:W3CDTF">2015-07-16T15:27:00Z</dcterms:created>
  <dcterms:modified xsi:type="dcterms:W3CDTF">2015-07-16T16:29:00Z</dcterms:modified>
</cp:coreProperties>
</file>